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F3D0F" w14:textId="4B2FE00D" w:rsidR="00152183" w:rsidRDefault="00152183" w:rsidP="00152183">
      <w:pPr>
        <w:jc w:val="center"/>
        <w:rPr>
          <w:sz w:val="40"/>
          <w:szCs w:val="40"/>
        </w:rPr>
      </w:pPr>
      <w:r>
        <w:rPr>
          <w:noProof/>
          <w:sz w:val="40"/>
          <w:szCs w:val="40"/>
        </w:rPr>
        <mc:AlternateContent>
          <mc:Choice Requires="wps">
            <w:drawing>
              <wp:anchor distT="0" distB="0" distL="114300" distR="114300" simplePos="0" relativeHeight="251659264" behindDoc="0" locked="0" layoutInCell="1" allowOverlap="1" wp14:anchorId="06B33ED9" wp14:editId="14541676">
                <wp:simplePos x="0" y="0"/>
                <wp:positionH relativeFrom="column">
                  <wp:posOffset>-802105</wp:posOffset>
                </wp:positionH>
                <wp:positionV relativeFrom="paragraph">
                  <wp:posOffset>-114300</wp:posOffset>
                </wp:positionV>
                <wp:extent cx="489284" cy="8229433"/>
                <wp:effectExtent l="0" t="0" r="6350" b="635"/>
                <wp:wrapNone/>
                <wp:docPr id="1220830829" name="Rectangle 1"/>
                <wp:cNvGraphicFramePr/>
                <a:graphic xmlns:a="http://schemas.openxmlformats.org/drawingml/2006/main">
                  <a:graphicData uri="http://schemas.microsoft.com/office/word/2010/wordprocessingShape">
                    <wps:wsp>
                      <wps:cNvSpPr/>
                      <wps:spPr>
                        <a:xfrm>
                          <a:off x="0" y="0"/>
                          <a:ext cx="489284" cy="8229433"/>
                        </a:xfrm>
                        <a:prstGeom prst="rect">
                          <a:avLst/>
                        </a:prstGeom>
                        <a:solidFill>
                          <a:srgbClr val="0068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7381234" id="Rectangle 1" o:spid="_x0000_s1026" style="position:absolute;margin-left:-63.15pt;margin-top:-9pt;width:38.55pt;height:9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" fillcolor="#006845" stroked="f" strokeweight="1pt"/>
            </w:pict>
          </mc:Fallback>
        </mc:AlternateContent>
      </w:r>
    </w:p>
    <w:p w14:paraId="4E8E92D5" w14:textId="77777777" w:rsidR="00152183" w:rsidRDefault="00152183" w:rsidP="00152183">
      <w:pPr>
        <w:jc w:val="center"/>
        <w:rPr>
          <w:sz w:val="40"/>
          <w:szCs w:val="40"/>
        </w:rPr>
      </w:pPr>
    </w:p>
    <w:p w14:paraId="7F53F1DD" w14:textId="77777777" w:rsidR="00152183" w:rsidRDefault="00152183" w:rsidP="00152183">
      <w:pPr>
        <w:jc w:val="center"/>
        <w:rPr>
          <w:sz w:val="40"/>
          <w:szCs w:val="40"/>
        </w:rPr>
      </w:pPr>
    </w:p>
    <w:p w14:paraId="08D31F6A" w14:textId="5FA4A278" w:rsidR="00152183" w:rsidRPr="00152183" w:rsidRDefault="00152183" w:rsidP="00152183">
      <w:pPr>
        <w:jc w:val="center"/>
        <w:rPr>
          <w:sz w:val="56"/>
          <w:szCs w:val="56"/>
        </w:rPr>
      </w:pPr>
      <w:r w:rsidRPr="00152183">
        <w:rPr>
          <w:sz w:val="56"/>
          <w:szCs w:val="56"/>
        </w:rPr>
        <w:t>Can't I Just Write it up? The Importance of Conceptual Frameworks in HPE Research</w:t>
      </w:r>
    </w:p>
    <w:p w14:paraId="15611541" w14:textId="77777777" w:rsidR="00152183" w:rsidRPr="00152183" w:rsidRDefault="00152183" w:rsidP="00152183">
      <w:pPr>
        <w:jc w:val="center"/>
        <w:rPr>
          <w:sz w:val="40"/>
          <w:szCs w:val="40"/>
        </w:rPr>
      </w:pPr>
    </w:p>
    <w:p w14:paraId="139B6DBF" w14:textId="77777777" w:rsidR="00152183" w:rsidRPr="00152183" w:rsidRDefault="00152183" w:rsidP="00152183">
      <w:pPr>
        <w:jc w:val="center"/>
        <w:rPr>
          <w:rFonts w:ascii="Times New Roman" w:eastAsia="Times New Roman" w:hAnsi="Times New Roman" w:cs="Times New Roman"/>
          <w:sz w:val="32"/>
          <w:szCs w:val="32"/>
          <w:lang w:val="en-US"/>
        </w:rPr>
      </w:pPr>
      <w:r w:rsidRPr="00152183">
        <w:rPr>
          <w:rFonts w:eastAsia="Times New Roman"/>
          <w:color w:val="000000"/>
          <w:sz w:val="32"/>
          <w:szCs w:val="32"/>
          <w:lang w:val="en-US"/>
        </w:rPr>
        <w:t>Alka Dev, DrPH, MHS</w:t>
      </w:r>
    </w:p>
    <w:p w14:paraId="4CCDE45F" w14:textId="77777777" w:rsidR="00152183" w:rsidRPr="00152183" w:rsidRDefault="00152183" w:rsidP="00152183">
      <w:pPr>
        <w:jc w:val="center"/>
        <w:rPr>
          <w:rFonts w:ascii="Times New Roman" w:eastAsia="Times New Roman" w:hAnsi="Times New Roman" w:cs="Times New Roman"/>
          <w:sz w:val="32"/>
          <w:szCs w:val="32"/>
          <w:lang w:val="en-US"/>
        </w:rPr>
      </w:pPr>
      <w:r w:rsidRPr="00152183">
        <w:rPr>
          <w:rFonts w:eastAsia="Times New Roman"/>
          <w:color w:val="000000"/>
          <w:sz w:val="32"/>
          <w:szCs w:val="32"/>
          <w:lang w:val="en-US"/>
        </w:rPr>
        <w:t>Courtney Vengrin, PhD, MS</w:t>
      </w:r>
    </w:p>
    <w:p w14:paraId="11BEDBE5" w14:textId="215BB49B" w:rsidR="00152183" w:rsidRDefault="0015218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sdt>
      <w:sdtPr>
        <w:rPr>
          <w:rFonts w:eastAsia="Calibri" w:cs="Calibri"/>
          <w:b w:val="0"/>
          <w:bCs w:val="0"/>
          <w:color w:val="auto"/>
          <w:sz w:val="22"/>
          <w:szCs w:val="22"/>
          <w:lang w:val="en"/>
        </w:rPr>
        <w:id w:val="-33122458"/>
        <w:docPartObj>
          <w:docPartGallery w:val="Table of Contents"/>
          <w:docPartUnique/>
        </w:docPartObj>
      </w:sdtPr>
      <w:sdtEndPr>
        <w:rPr>
          <w:noProof/>
        </w:rPr>
      </w:sdtEndPr>
      <w:sdtContent>
        <w:p w14:paraId="734E5B14" w14:textId="26A40FED" w:rsidR="00657AD9" w:rsidRDefault="00657AD9">
          <w:pPr>
            <w:pStyle w:val="TOCHeading"/>
          </w:pPr>
          <w:r>
            <w:t>Table of Contents</w:t>
          </w:r>
        </w:p>
        <w:p w14:paraId="31D0D7F2" w14:textId="3B71872A" w:rsidR="00657AD9" w:rsidRDefault="00657AD9">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220919193" w:history="1">
            <w:r w:rsidRPr="00B5047C">
              <w:rPr>
                <w:rStyle w:val="Hyperlink"/>
                <w:noProof/>
              </w:rPr>
              <w:t>Activity - Social Cognitive Theory</w:t>
            </w:r>
            <w:r>
              <w:rPr>
                <w:noProof/>
                <w:webHidden/>
              </w:rPr>
              <w:tab/>
            </w:r>
            <w:r>
              <w:rPr>
                <w:noProof/>
                <w:webHidden/>
              </w:rPr>
              <w:fldChar w:fldCharType="begin"/>
            </w:r>
            <w:r>
              <w:rPr>
                <w:noProof/>
                <w:webHidden/>
              </w:rPr>
              <w:instrText xml:space="preserve"> PAGEREF _Toc220919193 \h </w:instrText>
            </w:r>
            <w:r>
              <w:rPr>
                <w:noProof/>
                <w:webHidden/>
              </w:rPr>
            </w:r>
            <w:r>
              <w:rPr>
                <w:noProof/>
                <w:webHidden/>
              </w:rPr>
              <w:fldChar w:fldCharType="separate"/>
            </w:r>
            <w:r>
              <w:rPr>
                <w:noProof/>
                <w:webHidden/>
              </w:rPr>
              <w:t>3</w:t>
            </w:r>
            <w:r>
              <w:rPr>
                <w:noProof/>
                <w:webHidden/>
              </w:rPr>
              <w:fldChar w:fldCharType="end"/>
            </w:r>
          </w:hyperlink>
        </w:p>
        <w:p w14:paraId="33F9347C" w14:textId="7C571783" w:rsidR="00657AD9" w:rsidRDefault="003503F0">
          <w:pPr>
            <w:pStyle w:val="TOC1"/>
            <w:tabs>
              <w:tab w:val="right" w:leader="dot" w:pos="9350"/>
            </w:tabs>
            <w:rPr>
              <w:noProof/>
            </w:rPr>
          </w:pPr>
          <w:hyperlink w:anchor="_Toc220919194" w:history="1">
            <w:r w:rsidR="00657AD9" w:rsidRPr="00B5047C">
              <w:rPr>
                <w:rStyle w:val="Hyperlink"/>
                <w:noProof/>
              </w:rPr>
              <w:t>Activity - Theory of Planned Behavior</w:t>
            </w:r>
            <w:r w:rsidR="00657AD9">
              <w:rPr>
                <w:noProof/>
                <w:webHidden/>
              </w:rPr>
              <w:tab/>
            </w:r>
            <w:r w:rsidR="00657AD9">
              <w:rPr>
                <w:noProof/>
                <w:webHidden/>
              </w:rPr>
              <w:fldChar w:fldCharType="begin"/>
            </w:r>
            <w:r w:rsidR="00657AD9">
              <w:rPr>
                <w:noProof/>
                <w:webHidden/>
              </w:rPr>
              <w:instrText xml:space="preserve"> PAGEREF _Toc220919194 \h </w:instrText>
            </w:r>
            <w:r w:rsidR="00657AD9">
              <w:rPr>
                <w:noProof/>
                <w:webHidden/>
              </w:rPr>
            </w:r>
            <w:r w:rsidR="00657AD9">
              <w:rPr>
                <w:noProof/>
                <w:webHidden/>
              </w:rPr>
              <w:fldChar w:fldCharType="separate"/>
            </w:r>
            <w:r w:rsidR="00657AD9">
              <w:rPr>
                <w:noProof/>
                <w:webHidden/>
              </w:rPr>
              <w:t>5</w:t>
            </w:r>
            <w:r w:rsidR="00657AD9">
              <w:rPr>
                <w:noProof/>
                <w:webHidden/>
              </w:rPr>
              <w:fldChar w:fldCharType="end"/>
            </w:r>
          </w:hyperlink>
        </w:p>
        <w:p w14:paraId="7A5F3D27" w14:textId="62AC907A" w:rsidR="00657AD9" w:rsidRDefault="003503F0">
          <w:pPr>
            <w:pStyle w:val="TOC1"/>
            <w:tabs>
              <w:tab w:val="right" w:leader="dot" w:pos="9350"/>
            </w:tabs>
            <w:rPr>
              <w:noProof/>
            </w:rPr>
          </w:pPr>
          <w:hyperlink w:anchor="_Toc220919195" w:history="1">
            <w:r w:rsidR="00657AD9" w:rsidRPr="00B5047C">
              <w:rPr>
                <w:rStyle w:val="Hyperlink"/>
                <w:noProof/>
              </w:rPr>
              <w:t>Overview of Selected Theories and Frameworks</w:t>
            </w:r>
            <w:r w:rsidR="00657AD9">
              <w:rPr>
                <w:noProof/>
                <w:webHidden/>
              </w:rPr>
              <w:tab/>
            </w:r>
            <w:r w:rsidR="00657AD9">
              <w:rPr>
                <w:noProof/>
                <w:webHidden/>
              </w:rPr>
              <w:fldChar w:fldCharType="begin"/>
            </w:r>
            <w:r w:rsidR="00657AD9">
              <w:rPr>
                <w:noProof/>
                <w:webHidden/>
              </w:rPr>
              <w:instrText xml:space="preserve"> PAGEREF _Toc220919195 \h </w:instrText>
            </w:r>
            <w:r w:rsidR="00657AD9">
              <w:rPr>
                <w:noProof/>
                <w:webHidden/>
              </w:rPr>
            </w:r>
            <w:r w:rsidR="00657AD9">
              <w:rPr>
                <w:noProof/>
                <w:webHidden/>
              </w:rPr>
              <w:fldChar w:fldCharType="separate"/>
            </w:r>
            <w:r w:rsidR="00657AD9">
              <w:rPr>
                <w:noProof/>
                <w:webHidden/>
              </w:rPr>
              <w:t>7</w:t>
            </w:r>
            <w:r w:rsidR="00657AD9">
              <w:rPr>
                <w:noProof/>
                <w:webHidden/>
              </w:rPr>
              <w:fldChar w:fldCharType="end"/>
            </w:r>
          </w:hyperlink>
        </w:p>
        <w:p w14:paraId="32BA05A4" w14:textId="64104281" w:rsidR="00657AD9" w:rsidRDefault="003503F0">
          <w:pPr>
            <w:pStyle w:val="TOC1"/>
            <w:tabs>
              <w:tab w:val="right" w:leader="dot" w:pos="9350"/>
            </w:tabs>
            <w:rPr>
              <w:noProof/>
            </w:rPr>
          </w:pPr>
          <w:hyperlink w:anchor="_Toc220919196" w:history="1">
            <w:r w:rsidR="00657AD9" w:rsidRPr="00B5047C">
              <w:rPr>
                <w:rStyle w:val="Hyperlink"/>
                <w:noProof/>
              </w:rPr>
              <w:t>Activity - Study Development</w:t>
            </w:r>
            <w:r w:rsidR="00657AD9">
              <w:rPr>
                <w:noProof/>
                <w:webHidden/>
              </w:rPr>
              <w:tab/>
            </w:r>
            <w:r w:rsidR="00657AD9">
              <w:rPr>
                <w:noProof/>
                <w:webHidden/>
              </w:rPr>
              <w:fldChar w:fldCharType="begin"/>
            </w:r>
            <w:r w:rsidR="00657AD9">
              <w:rPr>
                <w:noProof/>
                <w:webHidden/>
              </w:rPr>
              <w:instrText xml:space="preserve"> PAGEREF _Toc220919196 \h </w:instrText>
            </w:r>
            <w:r w:rsidR="00657AD9">
              <w:rPr>
                <w:noProof/>
                <w:webHidden/>
              </w:rPr>
            </w:r>
            <w:r w:rsidR="00657AD9">
              <w:rPr>
                <w:noProof/>
                <w:webHidden/>
              </w:rPr>
              <w:fldChar w:fldCharType="separate"/>
            </w:r>
            <w:r w:rsidR="00657AD9">
              <w:rPr>
                <w:noProof/>
                <w:webHidden/>
              </w:rPr>
              <w:t>9</w:t>
            </w:r>
            <w:r w:rsidR="00657AD9">
              <w:rPr>
                <w:noProof/>
                <w:webHidden/>
              </w:rPr>
              <w:fldChar w:fldCharType="end"/>
            </w:r>
          </w:hyperlink>
        </w:p>
        <w:p w14:paraId="257743D0" w14:textId="0F9CCB5D" w:rsidR="00657AD9" w:rsidRDefault="003503F0">
          <w:pPr>
            <w:pStyle w:val="TOC1"/>
            <w:tabs>
              <w:tab w:val="right" w:leader="dot" w:pos="9350"/>
            </w:tabs>
            <w:rPr>
              <w:noProof/>
            </w:rPr>
          </w:pPr>
          <w:hyperlink w:anchor="_Toc220919197" w:history="1">
            <w:r w:rsidR="00657AD9" w:rsidRPr="00B5047C">
              <w:rPr>
                <w:rStyle w:val="Hyperlink"/>
                <w:noProof/>
              </w:rPr>
              <w:t>Utilizing Frameworks in Health Professions Education Research</w:t>
            </w:r>
            <w:r w:rsidR="00657AD9">
              <w:rPr>
                <w:noProof/>
                <w:webHidden/>
              </w:rPr>
              <w:tab/>
            </w:r>
            <w:r w:rsidR="00657AD9">
              <w:rPr>
                <w:noProof/>
                <w:webHidden/>
              </w:rPr>
              <w:fldChar w:fldCharType="begin"/>
            </w:r>
            <w:r w:rsidR="00657AD9">
              <w:rPr>
                <w:noProof/>
                <w:webHidden/>
              </w:rPr>
              <w:instrText xml:space="preserve"> PAGEREF _Toc220919197 \h </w:instrText>
            </w:r>
            <w:r w:rsidR="00657AD9">
              <w:rPr>
                <w:noProof/>
                <w:webHidden/>
              </w:rPr>
            </w:r>
            <w:r w:rsidR="00657AD9">
              <w:rPr>
                <w:noProof/>
                <w:webHidden/>
              </w:rPr>
              <w:fldChar w:fldCharType="separate"/>
            </w:r>
            <w:r w:rsidR="00657AD9">
              <w:rPr>
                <w:noProof/>
                <w:webHidden/>
              </w:rPr>
              <w:t>10</w:t>
            </w:r>
            <w:r w:rsidR="00657AD9">
              <w:rPr>
                <w:noProof/>
                <w:webHidden/>
              </w:rPr>
              <w:fldChar w:fldCharType="end"/>
            </w:r>
          </w:hyperlink>
        </w:p>
        <w:p w14:paraId="6B71573B" w14:textId="60FED55D" w:rsidR="00657AD9" w:rsidRDefault="003503F0">
          <w:pPr>
            <w:pStyle w:val="TOC1"/>
            <w:tabs>
              <w:tab w:val="right" w:leader="dot" w:pos="9350"/>
            </w:tabs>
            <w:rPr>
              <w:noProof/>
            </w:rPr>
          </w:pPr>
          <w:hyperlink w:anchor="_Toc220919198" w:history="1">
            <w:r w:rsidR="00657AD9" w:rsidRPr="00B5047C">
              <w:rPr>
                <w:rStyle w:val="Hyperlink"/>
                <w:noProof/>
              </w:rPr>
              <w:t>Further Reading: Theories and Frameworks</w:t>
            </w:r>
            <w:r w:rsidR="00657AD9">
              <w:rPr>
                <w:noProof/>
                <w:webHidden/>
              </w:rPr>
              <w:tab/>
            </w:r>
            <w:r w:rsidR="00657AD9">
              <w:rPr>
                <w:noProof/>
                <w:webHidden/>
              </w:rPr>
              <w:fldChar w:fldCharType="begin"/>
            </w:r>
            <w:r w:rsidR="00657AD9">
              <w:rPr>
                <w:noProof/>
                <w:webHidden/>
              </w:rPr>
              <w:instrText xml:space="preserve"> PAGEREF _Toc220919198 \h </w:instrText>
            </w:r>
            <w:r w:rsidR="00657AD9">
              <w:rPr>
                <w:noProof/>
                <w:webHidden/>
              </w:rPr>
            </w:r>
            <w:r w:rsidR="00657AD9">
              <w:rPr>
                <w:noProof/>
                <w:webHidden/>
              </w:rPr>
              <w:fldChar w:fldCharType="separate"/>
            </w:r>
            <w:r w:rsidR="00657AD9">
              <w:rPr>
                <w:noProof/>
                <w:webHidden/>
              </w:rPr>
              <w:t>12</w:t>
            </w:r>
            <w:r w:rsidR="00657AD9">
              <w:rPr>
                <w:noProof/>
                <w:webHidden/>
              </w:rPr>
              <w:fldChar w:fldCharType="end"/>
            </w:r>
          </w:hyperlink>
        </w:p>
        <w:p w14:paraId="20090840" w14:textId="2B4C3BEF" w:rsidR="00657AD9" w:rsidRDefault="00657AD9">
          <w:r>
            <w:rPr>
              <w:b/>
              <w:bCs/>
              <w:noProof/>
            </w:rPr>
            <w:fldChar w:fldCharType="end"/>
          </w:r>
        </w:p>
      </w:sdtContent>
    </w:sdt>
    <w:p w14:paraId="6487CD77" w14:textId="77777777" w:rsidR="00657AD9" w:rsidRDefault="00657AD9" w:rsidP="00657AD9">
      <w:pPr>
        <w:rPr>
          <w:b/>
          <w:bCs/>
          <w:sz w:val="28"/>
          <w:szCs w:val="48"/>
        </w:rPr>
      </w:pPr>
    </w:p>
    <w:p w14:paraId="52FCDA72" w14:textId="77777777" w:rsidR="00657AD9" w:rsidRDefault="00657AD9">
      <w:pPr>
        <w:rPr>
          <w:b/>
          <w:bCs/>
          <w:sz w:val="28"/>
          <w:szCs w:val="48"/>
        </w:rPr>
      </w:pPr>
      <w:r>
        <w:br w:type="page"/>
      </w:r>
    </w:p>
    <w:p w14:paraId="130B43B3" w14:textId="173B24BB" w:rsidR="0003050F" w:rsidRPr="00657AD9" w:rsidRDefault="00657AD9" w:rsidP="00657AD9">
      <w:pPr>
        <w:pStyle w:val="Heading1"/>
        <w:jc w:val="center"/>
      </w:pPr>
      <w:bookmarkStart w:id="0" w:name="_Toc220919193"/>
      <w:r w:rsidRPr="00657AD9">
        <w:lastRenderedPageBreak/>
        <w:t>Activity - Social Cognitive Theory</w:t>
      </w:r>
      <w:bookmarkEnd w:id="0"/>
    </w:p>
    <w:p w14:paraId="3230E4B3" w14:textId="77777777" w:rsidR="0003050F" w:rsidRDefault="003503F0">
      <w:pPr>
        <w:spacing w:before="240" w:after="240" w:line="276" w:lineRule="auto"/>
        <w:jc w:val="center"/>
        <w:rPr>
          <w:b/>
          <w:bCs/>
        </w:rPr>
      </w:pPr>
      <w:r>
        <w:rPr>
          <w:b/>
          <w:bCs/>
        </w:rPr>
        <w:t>Applying Theoretical and Conceptual Frameworks -- Case Vignette</w:t>
      </w:r>
    </w:p>
    <w:p w14:paraId="18C2631F" w14:textId="77777777" w:rsidR="0003050F" w:rsidRPr="00152183" w:rsidRDefault="003503F0">
      <w:pPr>
        <w:spacing w:before="240" w:after="240" w:line="276" w:lineRule="auto"/>
        <w:rPr>
          <w:sz w:val="21"/>
          <w:szCs w:val="21"/>
        </w:rPr>
      </w:pPr>
      <w:r w:rsidRPr="00152183">
        <w:rPr>
          <w:sz w:val="21"/>
          <w:szCs w:val="21"/>
          <w:u w:val="single"/>
        </w:rPr>
        <w:t>Gap/Problem</w:t>
      </w:r>
      <w:r w:rsidRPr="00152183">
        <w:rPr>
          <w:sz w:val="21"/>
          <w:szCs w:val="21"/>
        </w:rPr>
        <w:t>: As part of a new competency-based clinical skills curriculum at University of Anywhere School of Medicine, all first-year medical students comp</w:t>
      </w:r>
      <w:r w:rsidRPr="00152183">
        <w:rPr>
          <w:sz w:val="21"/>
          <w:szCs w:val="21"/>
        </w:rPr>
        <w:t>lete five patient history-taking encounters during their first year. The school invested in a state-of-the-art skills lab equipped with a standardized patient (SP) app that allows students to independently schedule appointments, conduct interviews in priva</w:t>
      </w:r>
      <w:r w:rsidRPr="00152183">
        <w:rPr>
          <w:sz w:val="21"/>
          <w:szCs w:val="21"/>
        </w:rPr>
        <w:t xml:space="preserve">te rooms, enter their questions via the app interface, and receive automated recordings of their encounters. Students have access to comprehensive online modules covering history-taking frameworks, question types (open-ended vs. closed), and documentation </w:t>
      </w:r>
      <w:r w:rsidRPr="00152183">
        <w:rPr>
          <w:sz w:val="21"/>
          <w:szCs w:val="21"/>
        </w:rPr>
        <w:t>standards. All students pass a written examination on history-taking principles with scores averaging 85%.</w:t>
      </w:r>
    </w:p>
    <w:p w14:paraId="746169A9" w14:textId="77777777" w:rsidR="0003050F" w:rsidRPr="00152183" w:rsidRDefault="003503F0">
      <w:pPr>
        <w:spacing w:before="240" w:after="240" w:line="276" w:lineRule="auto"/>
        <w:rPr>
          <w:sz w:val="21"/>
          <w:szCs w:val="21"/>
        </w:rPr>
      </w:pPr>
      <w:r w:rsidRPr="00152183">
        <w:rPr>
          <w:sz w:val="21"/>
          <w:szCs w:val="21"/>
        </w:rPr>
        <w:t>However, after the first year, the curriculum office analyzed the recorded encounters and found concerning patterns: 78% of student histories were mi</w:t>
      </w:r>
      <w:r w:rsidRPr="00152183">
        <w:rPr>
          <w:sz w:val="21"/>
          <w:szCs w:val="21"/>
        </w:rPr>
        <w:t>ssing key elements (e.g., incomplete review of systems, absent social history); students rarely asked follow-up or open ended questions or pursued clarifying details when patients mentioned symptoms; student self-assessment scores were significantly higher</w:t>
      </w:r>
      <w:r w:rsidRPr="00152183">
        <w:rPr>
          <w:sz w:val="21"/>
          <w:szCs w:val="21"/>
        </w:rPr>
        <w:t xml:space="preserve"> than faculty ratings of the same encounters; and many students expressed feeling "confident" about their history-taking skills despite objective performance gaps.</w:t>
      </w:r>
    </w:p>
    <w:p w14:paraId="581F6A96" w14:textId="1C8BA1AC" w:rsidR="0003050F" w:rsidRPr="00152183" w:rsidRDefault="003503F0">
      <w:pPr>
        <w:spacing w:before="240" w:after="240" w:line="276" w:lineRule="auto"/>
        <w:rPr>
          <w:sz w:val="21"/>
          <w:szCs w:val="21"/>
        </w:rPr>
      </w:pPr>
      <w:r w:rsidRPr="00152183">
        <w:rPr>
          <w:sz w:val="21"/>
          <w:szCs w:val="21"/>
        </w:rPr>
        <w:t xml:space="preserve">Dr. Maya Patel, a medical education researcher, wants to understand why students' knowledge </w:t>
      </w:r>
      <w:r w:rsidRPr="00152183">
        <w:rPr>
          <w:sz w:val="21"/>
          <w:szCs w:val="21"/>
        </w:rPr>
        <w:t>of history-taking principles isn't translating into competent performance. What are some factors beyond content knowledge that she could study to improve clinical skill development?</w:t>
      </w:r>
    </w:p>
    <w:tbl>
      <w:tblPr>
        <w:tblStyle w:val="a5"/>
        <w:tblW w:w="944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020" w:firstRow="1" w:lastRow="0" w:firstColumn="0" w:lastColumn="0" w:noHBand="0" w:noVBand="0"/>
      </w:tblPr>
      <w:tblGrid>
        <w:gridCol w:w="2515"/>
        <w:gridCol w:w="6930"/>
      </w:tblGrid>
      <w:tr w:rsidR="0003050F" w14:paraId="4E5E88AC" w14:textId="77777777" w:rsidTr="0003050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15" w:type="dxa"/>
            <w:tcBorders>
              <w:top w:val="single" w:sz="4" w:space="0" w:color="38761D"/>
              <w:left w:val="single" w:sz="4" w:space="0" w:color="38761D"/>
              <w:bottom w:val="single" w:sz="4" w:space="0" w:color="38761D"/>
              <w:right w:val="single" w:sz="4" w:space="0" w:color="38761D"/>
            </w:tcBorders>
            <w:shd w:val="clear" w:color="auto" w:fill="38761D"/>
          </w:tcPr>
          <w:p w14:paraId="4848CF70" w14:textId="77777777" w:rsidR="0003050F" w:rsidRDefault="003503F0">
            <w:r>
              <w:t>Using the framework</w:t>
            </w:r>
          </w:p>
        </w:tc>
        <w:tc>
          <w:tcPr>
            <w:tcW w:w="6930" w:type="dxa"/>
            <w:tcBorders>
              <w:top w:val="single" w:sz="4" w:space="0" w:color="38761D"/>
              <w:left w:val="single" w:sz="4" w:space="0" w:color="38761D"/>
              <w:bottom w:val="single" w:sz="4" w:space="0" w:color="38761D"/>
              <w:right w:val="single" w:sz="4" w:space="0" w:color="38761D"/>
            </w:tcBorders>
            <w:shd w:val="clear" w:color="auto" w:fill="38761D"/>
          </w:tcPr>
          <w:p w14:paraId="2C4AD873" w14:textId="77777777" w:rsidR="0003050F" w:rsidRDefault="003503F0">
            <w:pPr>
              <w:cnfStyle w:val="100000000000" w:firstRow="1" w:lastRow="0" w:firstColumn="0" w:lastColumn="0" w:oddVBand="0" w:evenVBand="0" w:oddHBand="0" w:evenHBand="0" w:firstRowFirstColumn="0" w:firstRowLastColumn="0" w:lastRowFirstColumn="0" w:lastRowLastColumn="0"/>
            </w:pPr>
            <w:r>
              <w:t>Social Cognitive Theory (SCT)</w:t>
            </w:r>
          </w:p>
        </w:tc>
      </w:tr>
      <w:tr w:rsidR="0003050F" w14:paraId="0436C24F" w14:textId="77777777" w:rsidTr="00152183">
        <w:trPr>
          <w:cnfStyle w:val="000000100000" w:firstRow="0" w:lastRow="0" w:firstColumn="0" w:lastColumn="0" w:oddVBand="0" w:evenVBand="0" w:oddHBand="1" w:evenHBand="0" w:firstRowFirstColumn="0" w:firstRowLastColumn="0" w:lastRowFirstColumn="0" w:lastRowLastColumn="0"/>
          <w:trHeight w:val="1304"/>
        </w:trPr>
        <w:tc>
          <w:tcPr>
            <w:cnfStyle w:val="000010000000" w:firstRow="0" w:lastRow="0" w:firstColumn="0" w:lastColumn="0" w:oddVBand="1" w:evenVBand="0" w:oddHBand="0" w:evenHBand="0" w:firstRowFirstColumn="0" w:firstRowLastColumn="0" w:lastRowFirstColumn="0" w:lastRowLastColumn="0"/>
            <w:tcW w:w="2515" w:type="dxa"/>
            <w:tcBorders>
              <w:top w:val="single" w:sz="4" w:space="0" w:color="38761D"/>
              <w:left w:val="single" w:sz="4" w:space="0" w:color="38761D"/>
              <w:bottom w:val="single" w:sz="4" w:space="0" w:color="38761D"/>
              <w:right w:val="single" w:sz="4" w:space="0" w:color="38761D"/>
            </w:tcBorders>
          </w:tcPr>
          <w:p w14:paraId="1BAE009C" w14:textId="77777777" w:rsidR="0003050F" w:rsidRPr="00152183" w:rsidRDefault="003503F0">
            <w:pPr>
              <w:rPr>
                <w:sz w:val="21"/>
                <w:szCs w:val="21"/>
              </w:rPr>
            </w:pPr>
            <w:r w:rsidRPr="00152183">
              <w:rPr>
                <w:sz w:val="21"/>
                <w:szCs w:val="21"/>
              </w:rPr>
              <w:t xml:space="preserve">What research </w:t>
            </w:r>
            <w:r w:rsidRPr="00152183">
              <w:rPr>
                <w:sz w:val="21"/>
                <w:szCs w:val="21"/>
              </w:rPr>
              <w:t>question will help you address the gap/problem?</w:t>
            </w:r>
          </w:p>
        </w:tc>
        <w:tc>
          <w:tcPr>
            <w:tcW w:w="6930" w:type="dxa"/>
            <w:tcBorders>
              <w:top w:val="single" w:sz="4" w:space="0" w:color="38761D"/>
              <w:left w:val="single" w:sz="4" w:space="0" w:color="38761D"/>
              <w:bottom w:val="single" w:sz="4" w:space="0" w:color="38761D"/>
              <w:right w:val="single" w:sz="4" w:space="0" w:color="38761D"/>
            </w:tcBorders>
          </w:tcPr>
          <w:p w14:paraId="7D5A1724" w14:textId="77777777" w:rsidR="0003050F" w:rsidRDefault="0003050F">
            <w:pPr>
              <w:cnfStyle w:val="000000100000" w:firstRow="0" w:lastRow="0" w:firstColumn="0" w:lastColumn="0" w:oddVBand="0" w:evenVBand="0" w:oddHBand="1" w:evenHBand="0" w:firstRowFirstColumn="0" w:firstRowLastColumn="0" w:lastRowFirstColumn="0" w:lastRowLastColumn="0"/>
            </w:pPr>
          </w:p>
        </w:tc>
      </w:tr>
      <w:tr w:rsidR="0003050F" w14:paraId="65DBB27B" w14:textId="77777777" w:rsidTr="0003050F">
        <w:trPr>
          <w:trHeight w:val="1817"/>
        </w:trPr>
        <w:tc>
          <w:tcPr>
            <w:cnfStyle w:val="000010000000" w:firstRow="0" w:lastRow="0" w:firstColumn="0" w:lastColumn="0" w:oddVBand="1" w:evenVBand="0" w:oddHBand="0" w:evenHBand="0" w:firstRowFirstColumn="0" w:firstRowLastColumn="0" w:lastRowFirstColumn="0" w:lastRowLastColumn="0"/>
            <w:tcW w:w="2515" w:type="dxa"/>
            <w:tcBorders>
              <w:top w:val="single" w:sz="4" w:space="0" w:color="38761D"/>
              <w:left w:val="single" w:sz="4" w:space="0" w:color="38761D"/>
              <w:bottom w:val="single" w:sz="4" w:space="0" w:color="38761D"/>
              <w:right w:val="single" w:sz="4" w:space="0" w:color="38761D"/>
            </w:tcBorders>
          </w:tcPr>
          <w:p w14:paraId="43C8F856" w14:textId="77777777" w:rsidR="0003050F" w:rsidRPr="00152183" w:rsidRDefault="003503F0">
            <w:pPr>
              <w:rPr>
                <w:sz w:val="21"/>
                <w:szCs w:val="21"/>
              </w:rPr>
            </w:pPr>
            <w:r w:rsidRPr="00152183">
              <w:rPr>
                <w:sz w:val="21"/>
                <w:szCs w:val="21"/>
              </w:rPr>
              <w:t>How would the research question be affected by using SCT as a lens for viewing the learning (and feedback) process?</w:t>
            </w:r>
          </w:p>
        </w:tc>
        <w:tc>
          <w:tcPr>
            <w:tcW w:w="6930" w:type="dxa"/>
            <w:tcBorders>
              <w:top w:val="single" w:sz="4" w:space="0" w:color="38761D"/>
              <w:left w:val="single" w:sz="4" w:space="0" w:color="38761D"/>
              <w:bottom w:val="single" w:sz="4" w:space="0" w:color="38761D"/>
              <w:right w:val="single" w:sz="4" w:space="0" w:color="38761D"/>
            </w:tcBorders>
          </w:tcPr>
          <w:p w14:paraId="0FEBD875" w14:textId="77777777" w:rsidR="0003050F" w:rsidRDefault="0003050F">
            <w:pPr>
              <w:cnfStyle w:val="000000000000" w:firstRow="0" w:lastRow="0" w:firstColumn="0" w:lastColumn="0" w:oddVBand="0" w:evenVBand="0" w:oddHBand="0" w:evenHBand="0" w:firstRowFirstColumn="0" w:firstRowLastColumn="0" w:lastRowFirstColumn="0" w:lastRowLastColumn="0"/>
            </w:pPr>
          </w:p>
        </w:tc>
      </w:tr>
      <w:tr w:rsidR="0003050F" w14:paraId="084B88AC" w14:textId="77777777" w:rsidTr="0003050F">
        <w:trPr>
          <w:cnfStyle w:val="000000100000" w:firstRow="0" w:lastRow="0" w:firstColumn="0" w:lastColumn="0" w:oddVBand="0" w:evenVBand="0" w:oddHBand="1" w:evenHBand="0" w:firstRowFirstColumn="0" w:firstRowLastColumn="0" w:lastRowFirstColumn="0" w:lastRowLastColumn="0"/>
          <w:trHeight w:val="2600"/>
        </w:trPr>
        <w:tc>
          <w:tcPr>
            <w:cnfStyle w:val="000010000000" w:firstRow="0" w:lastRow="0" w:firstColumn="0" w:lastColumn="0" w:oddVBand="1" w:evenVBand="0" w:oddHBand="0" w:evenHBand="0" w:firstRowFirstColumn="0" w:firstRowLastColumn="0" w:lastRowFirstColumn="0" w:lastRowLastColumn="0"/>
            <w:tcW w:w="2515" w:type="dxa"/>
            <w:tcBorders>
              <w:top w:val="single" w:sz="4" w:space="0" w:color="38761D"/>
              <w:left w:val="single" w:sz="4" w:space="0" w:color="38761D"/>
              <w:bottom w:val="single" w:sz="4" w:space="0" w:color="38761D"/>
              <w:right w:val="single" w:sz="4" w:space="0" w:color="38761D"/>
            </w:tcBorders>
          </w:tcPr>
          <w:p w14:paraId="385AF871" w14:textId="77777777" w:rsidR="0003050F" w:rsidRPr="00152183" w:rsidRDefault="003503F0">
            <w:pPr>
              <w:rPr>
                <w:sz w:val="21"/>
                <w:szCs w:val="21"/>
              </w:rPr>
            </w:pPr>
            <w:r w:rsidRPr="00152183">
              <w:rPr>
                <w:sz w:val="21"/>
                <w:szCs w:val="21"/>
              </w:rPr>
              <w:t>In what areas of the project could SCT be used? Consider:</w:t>
            </w:r>
          </w:p>
          <w:p w14:paraId="14F9E623" w14:textId="77777777" w:rsidR="0003050F" w:rsidRPr="00152183" w:rsidRDefault="003503F0">
            <w:pPr>
              <w:numPr>
                <w:ilvl w:val="0"/>
                <w:numId w:val="1"/>
              </w:numPr>
              <w:spacing w:line="259" w:lineRule="auto"/>
              <w:ind w:left="360" w:hanging="270"/>
              <w:rPr>
                <w:sz w:val="21"/>
                <w:szCs w:val="21"/>
              </w:rPr>
            </w:pPr>
            <w:r w:rsidRPr="00152183">
              <w:rPr>
                <w:sz w:val="21"/>
                <w:szCs w:val="21"/>
              </w:rPr>
              <w:t xml:space="preserve">Content (What to </w:t>
            </w:r>
            <w:r w:rsidRPr="00152183">
              <w:rPr>
                <w:sz w:val="21"/>
                <w:szCs w:val="21"/>
              </w:rPr>
              <w:t>study?)</w:t>
            </w:r>
          </w:p>
          <w:p w14:paraId="51FE9372" w14:textId="77777777" w:rsidR="0003050F" w:rsidRPr="00152183" w:rsidRDefault="003503F0">
            <w:pPr>
              <w:numPr>
                <w:ilvl w:val="0"/>
                <w:numId w:val="1"/>
              </w:numPr>
              <w:spacing w:line="259" w:lineRule="auto"/>
              <w:ind w:left="360" w:hanging="270"/>
              <w:rPr>
                <w:sz w:val="21"/>
                <w:szCs w:val="21"/>
              </w:rPr>
            </w:pPr>
            <w:r w:rsidRPr="00152183">
              <w:rPr>
                <w:sz w:val="21"/>
                <w:szCs w:val="21"/>
              </w:rPr>
              <w:t>Methods (How to study?)</w:t>
            </w:r>
          </w:p>
          <w:p w14:paraId="2E6B683D" w14:textId="77777777" w:rsidR="0003050F" w:rsidRPr="00152183" w:rsidRDefault="003503F0">
            <w:pPr>
              <w:numPr>
                <w:ilvl w:val="0"/>
                <w:numId w:val="1"/>
              </w:numPr>
              <w:spacing w:after="160" w:line="259" w:lineRule="auto"/>
              <w:ind w:left="360" w:hanging="270"/>
              <w:rPr>
                <w:sz w:val="21"/>
                <w:szCs w:val="21"/>
              </w:rPr>
            </w:pPr>
            <w:r w:rsidRPr="00152183">
              <w:rPr>
                <w:sz w:val="21"/>
                <w:szCs w:val="21"/>
              </w:rPr>
              <w:t>Interpretation (So what? What’s next?)</w:t>
            </w:r>
          </w:p>
        </w:tc>
        <w:tc>
          <w:tcPr>
            <w:tcW w:w="6930" w:type="dxa"/>
            <w:tcBorders>
              <w:top w:val="single" w:sz="4" w:space="0" w:color="38761D"/>
              <w:left w:val="single" w:sz="4" w:space="0" w:color="38761D"/>
              <w:bottom w:val="single" w:sz="4" w:space="0" w:color="38761D"/>
              <w:right w:val="single" w:sz="4" w:space="0" w:color="38761D"/>
            </w:tcBorders>
          </w:tcPr>
          <w:p w14:paraId="698AAE3F" w14:textId="77777777" w:rsidR="0003050F" w:rsidRDefault="0003050F">
            <w:pPr>
              <w:cnfStyle w:val="000000100000" w:firstRow="0" w:lastRow="0" w:firstColumn="0" w:lastColumn="0" w:oddVBand="0" w:evenVBand="0" w:oddHBand="1" w:evenHBand="0" w:firstRowFirstColumn="0" w:firstRowLastColumn="0" w:lastRowFirstColumn="0" w:lastRowLastColumn="0"/>
            </w:pPr>
          </w:p>
        </w:tc>
      </w:tr>
    </w:tbl>
    <w:p w14:paraId="6DE70D92" w14:textId="53F5E75B" w:rsidR="00152183" w:rsidRDefault="00657AD9" w:rsidP="00152183">
      <w:pPr>
        <w:spacing w:after="0" w:line="240" w:lineRule="auto"/>
        <w:jc w:val="center"/>
        <w:rPr>
          <w:b/>
          <w:bCs/>
        </w:rPr>
      </w:pPr>
      <w:r>
        <w:rPr>
          <w:b/>
          <w:bCs/>
          <w:noProof/>
        </w:rPr>
        <mc:AlternateContent>
          <mc:Choice Requires="wps">
            <w:drawing>
              <wp:anchor distT="0" distB="0" distL="114300" distR="114300" simplePos="0" relativeHeight="251674624" behindDoc="0" locked="0" layoutInCell="1" allowOverlap="1" wp14:anchorId="1BB97EAE" wp14:editId="475B9AB0">
                <wp:simplePos x="0" y="0"/>
                <wp:positionH relativeFrom="column">
                  <wp:posOffset>-135756</wp:posOffset>
                </wp:positionH>
                <wp:positionV relativeFrom="paragraph">
                  <wp:posOffset>255002</wp:posOffset>
                </wp:positionV>
                <wp:extent cx="1740569" cy="264695"/>
                <wp:effectExtent l="0" t="0" r="0" b="0"/>
                <wp:wrapNone/>
                <wp:docPr id="1816411720" name="Text Box 2"/>
                <wp:cNvGraphicFramePr/>
                <a:graphic xmlns:a="http://schemas.openxmlformats.org/drawingml/2006/main">
                  <a:graphicData uri="http://schemas.microsoft.com/office/word/2010/wordprocessingShape">
                    <wps:wsp>
                      <wps:cNvSpPr txBox="1"/>
                      <wps:spPr>
                        <a:xfrm>
                          <a:off x="0" y="0"/>
                          <a:ext cx="1740569" cy="264695"/>
                        </a:xfrm>
                        <a:prstGeom prst="rect">
                          <a:avLst/>
                        </a:prstGeom>
                        <a:noFill/>
                        <a:ln w="6350">
                          <a:noFill/>
                        </a:ln>
                      </wps:spPr>
                      <wps:txbx>
                        <w:txbxContent>
                          <w:p w14:paraId="0F2930BD" w14:textId="42D305E6" w:rsidR="00657AD9" w:rsidRPr="00657AD9" w:rsidRDefault="00657AD9">
                            <w:pPr>
                              <w:rPr>
                                <w:sz w:val="16"/>
                                <w:szCs w:val="16"/>
                              </w:rPr>
                            </w:pPr>
                            <w:r w:rsidRPr="00657AD9">
                              <w:rPr>
                                <w:i/>
                                <w:iCs/>
                                <w:color w:val="999999"/>
                                <w:sz w:val="16"/>
                                <w:szCs w:val="16"/>
                              </w:rPr>
                              <w:t>Adapted from S. Rougas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B97EAE" id="_x0000_t202" coordsize="21600,21600" o:spt="202" path="m,l,21600r21600,l21600,xe">
                <v:stroke joinstyle="miter"/>
                <v:path gradientshapeok="t" o:connecttype="rect"/>
              </v:shapetype>
              <v:shape id="Text Box 2" o:spid="_x0000_s1026" type="#_x0000_t202" style="position:absolute;left:0;text-align:left;margin-left:-10.7pt;margin-top:20.1pt;width:137.05pt;height:20.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" filled="f" stroked="f" strokeweight=".5pt">
                <v:textbox>
                  <w:txbxContent>
                    <w:p w14:paraId="0F2930BD" w14:textId="42D305E6" w:rsidR="00657AD9" w:rsidRPr="00657AD9" w:rsidRDefault="00657AD9">
                      <w:pPr>
                        <w:rPr>
                          <w:sz w:val="16"/>
                          <w:szCs w:val="16"/>
                        </w:rPr>
                      </w:pPr>
                      <w:r w:rsidRPr="00657AD9">
                        <w:rPr>
                          <w:i/>
                          <w:iCs/>
                          <w:color w:val="999999"/>
                          <w:sz w:val="16"/>
                          <w:szCs w:val="16"/>
                        </w:rPr>
                        <w:t>Adapted from S. Rougas (2019)</w:t>
                      </w:r>
                    </w:p>
                  </w:txbxContent>
                </v:textbox>
              </v:shape>
            </w:pict>
          </mc:Fallback>
        </mc:AlternateContent>
      </w:r>
    </w:p>
    <w:p w14:paraId="63034AC8" w14:textId="7179EF87" w:rsidR="0003050F" w:rsidRDefault="003503F0" w:rsidP="00152183">
      <w:pPr>
        <w:spacing w:after="0" w:line="240" w:lineRule="auto"/>
        <w:jc w:val="center"/>
        <w:rPr>
          <w:sz w:val="24"/>
          <w:szCs w:val="24"/>
        </w:rPr>
      </w:pPr>
      <w:r>
        <w:rPr>
          <w:b/>
          <w:bCs/>
        </w:rPr>
        <w:lastRenderedPageBreak/>
        <w:t>Social Cognitive Theory</w:t>
      </w:r>
    </w:p>
    <w:p w14:paraId="1058BC84" w14:textId="77777777" w:rsidR="0003050F" w:rsidRDefault="003503F0">
      <w:pPr>
        <w:spacing w:before="240" w:after="0" w:line="240" w:lineRule="auto"/>
      </w:pPr>
      <w:r>
        <w:rPr>
          <w:b/>
          <w:bCs/>
        </w:rPr>
        <w:t>Brief Description</w:t>
      </w:r>
    </w:p>
    <w:p w14:paraId="3744CFF9" w14:textId="77777777" w:rsidR="0003050F" w:rsidRDefault="003503F0">
      <w:pPr>
        <w:spacing w:before="240" w:after="0" w:line="240" w:lineRule="auto"/>
      </w:pPr>
      <w:r>
        <w:t xml:space="preserve">Social Cognitive Theory (SCT) was developed by psychologist Albert Bandura in the 1960s-1980s, to </w:t>
      </w:r>
      <w:r>
        <w:t xml:space="preserve">provide a comprehensive framework for understanding human behavior through the dynamic interplay of personal, behavioral, and environmental factors (Bandura, 1986). Central to SCT is the concept of reciprocal determinism, which posits that individuals are </w:t>
      </w:r>
      <w:r>
        <w:t>both products and producers of their environment, with behavior, personal factors (including cognition and affect), and environmental influences continuously interacting and influencing one another (Bandura, 1989). The theory emphasizes observational learn</w:t>
      </w:r>
      <w:r>
        <w:t>ing, whereby individuals acquire new behaviors through watching others. A critical component of SCT is self-efficacy. I.e. an individual's belief in their capacity to execute behaviors necessary to produce specific performance outcomes, which Bandura argue</w:t>
      </w:r>
      <w:r>
        <w:t>d is a key determinant of behavior change and maintenance across diverse domains (Bandura, 1977, 1997). SCT has become one of the most widely applied theoretical frameworks for understanding how individuals learn, adopt, and sustain desired behaviors.  Lea</w:t>
      </w:r>
      <w:r>
        <w:t>rners can regulate their own learning when they receive appropriate support, planning, monitoring, and reflecting on their performance. This theory focuses on the influence of three spheres: behavioral factors such as skills, practice, and self-efficacy; p</w:t>
      </w:r>
      <w:r>
        <w:t>ersonal factors such as knowledge, expectations, and attitudes; and environmental factors such as social norms, access, and the ability to influence others or to change one's own environment.</w:t>
      </w:r>
    </w:p>
    <w:p w14:paraId="65EB49E3" w14:textId="77777777" w:rsidR="0003050F" w:rsidRDefault="003503F0">
      <w:pPr>
        <w:spacing w:before="240" w:after="0" w:line="240" w:lineRule="auto"/>
      </w:pPr>
      <w:r>
        <w:rPr>
          <w:b/>
          <w:bCs/>
        </w:rPr>
        <w:t>Example</w:t>
      </w:r>
    </w:p>
    <w:p w14:paraId="0E7E7FC8" w14:textId="77777777" w:rsidR="0003050F" w:rsidRDefault="003503F0">
      <w:pPr>
        <w:spacing w:before="240" w:after="0" w:line="240" w:lineRule="auto"/>
      </w:pPr>
      <w:proofErr w:type="spellStart"/>
      <w:r>
        <w:rPr>
          <w:sz w:val="24"/>
          <w:szCs w:val="24"/>
        </w:rPr>
        <w:t>Benbassat</w:t>
      </w:r>
      <w:proofErr w:type="spellEnd"/>
      <w:r>
        <w:rPr>
          <w:sz w:val="24"/>
          <w:szCs w:val="24"/>
        </w:rPr>
        <w:t xml:space="preserve"> J. Role Modeling in Medical Education: The Imp</w:t>
      </w:r>
      <w:r>
        <w:rPr>
          <w:sz w:val="24"/>
          <w:szCs w:val="24"/>
        </w:rPr>
        <w:t xml:space="preserve">ortance of a Reflective Imitation. </w:t>
      </w:r>
      <w:proofErr w:type="spellStart"/>
      <w:r>
        <w:rPr>
          <w:i/>
          <w:iCs/>
          <w:sz w:val="24"/>
          <w:szCs w:val="24"/>
        </w:rPr>
        <w:t>Acad</w:t>
      </w:r>
      <w:proofErr w:type="spellEnd"/>
      <w:r>
        <w:rPr>
          <w:i/>
          <w:iCs/>
          <w:sz w:val="24"/>
          <w:szCs w:val="24"/>
        </w:rPr>
        <w:t xml:space="preserve"> Med</w:t>
      </w:r>
      <w:r>
        <w:rPr>
          <w:sz w:val="24"/>
          <w:szCs w:val="24"/>
        </w:rPr>
        <w:t>. 2014;89(4):550-554. doi:10.1097/ACM.0000000000000189</w:t>
      </w:r>
      <w:r>
        <w:t xml:space="preserve"> </w:t>
      </w:r>
    </w:p>
    <w:p w14:paraId="54184991" w14:textId="06319361" w:rsidR="0003050F" w:rsidRPr="00152183" w:rsidRDefault="003503F0">
      <w:pPr>
        <w:spacing w:before="240" w:after="0" w:line="240" w:lineRule="auto"/>
      </w:pPr>
      <w:r>
        <w:t>“</w:t>
      </w:r>
      <w:r>
        <w:rPr>
          <w:i/>
          <w:iCs/>
        </w:rPr>
        <w:t>In this Perspective, the author argues that imitation of role models may initially help students adapt to the clinical environment. However, if sustained, i</w:t>
      </w:r>
      <w:r>
        <w:rPr>
          <w:i/>
          <w:iCs/>
        </w:rPr>
        <w:t>mitation may perpetuate undesirable practices, such as doctor-centered patient interviewing, and unintended institutional norms, such as discrimination between private and public patients. The author suggests that the value of role modeling can be advanced</w:t>
      </w:r>
      <w:r>
        <w:rPr>
          <w:i/>
          <w:iCs/>
        </w:rPr>
        <w:t xml:space="preserve"> not only by targeting role models and improving faculty performance but also by enhancing students’ reflective assessment of their preceptors’ behaviors, especially so that they can better discern those that are worth imitating. This student-centered appr</w:t>
      </w:r>
      <w:r>
        <w:rPr>
          <w:i/>
          <w:iCs/>
        </w:rPr>
        <w:t>oach may be accomplished by first, warning students against uncritically imitating preceptors who are perceived as role models; second, showing students that their preceptors share their doubts and uncertainties; third, gaining an insight into possible und</w:t>
      </w:r>
      <w:r>
        <w:rPr>
          <w:i/>
          <w:iCs/>
        </w:rPr>
        <w:t>esirable messages of the learning environment; and finally, developing policies for faculty recruitment and promotion that consider whether a clinical preceptor is a role model.</w:t>
      </w:r>
      <w:r>
        <w:t>”</w:t>
      </w:r>
    </w:p>
    <w:p w14:paraId="42CB292D" w14:textId="77777777" w:rsidR="0003050F" w:rsidRDefault="003503F0">
      <w:pPr>
        <w:spacing w:before="240" w:after="0" w:line="240" w:lineRule="auto"/>
        <w:rPr>
          <w:sz w:val="24"/>
          <w:szCs w:val="24"/>
        </w:rPr>
      </w:pPr>
      <w:r>
        <w:rPr>
          <w:b/>
          <w:bCs/>
        </w:rPr>
        <w:t>References</w:t>
      </w:r>
    </w:p>
    <w:p w14:paraId="06F7739A" w14:textId="77777777" w:rsidR="0003050F" w:rsidRDefault="003503F0">
      <w:pPr>
        <w:spacing w:after="0" w:line="240" w:lineRule="auto"/>
      </w:pPr>
      <w:r>
        <w:t>Bandura, A. (1977). Self-efficacy: Toward a unifying theory of beh</w:t>
      </w:r>
      <w:r>
        <w:t xml:space="preserve">avioral change. </w:t>
      </w:r>
      <w:r>
        <w:rPr>
          <w:i/>
          <w:iCs/>
        </w:rPr>
        <w:t>Psychological Review, 84</w:t>
      </w:r>
      <w:r>
        <w:t>(2), 191-215.</w:t>
      </w:r>
    </w:p>
    <w:p w14:paraId="5E1A7CA9" w14:textId="77777777" w:rsidR="0003050F" w:rsidRDefault="003503F0">
      <w:pPr>
        <w:spacing w:after="0" w:line="240" w:lineRule="auto"/>
      </w:pPr>
      <w:r>
        <w:t xml:space="preserve">Bandura, A. (1986). </w:t>
      </w:r>
      <w:r>
        <w:rPr>
          <w:i/>
          <w:iCs/>
        </w:rPr>
        <w:t>Social foundations of thought and action: A social cognitive theory</w:t>
      </w:r>
      <w:r>
        <w:t>. Prentice-Hall.</w:t>
      </w:r>
    </w:p>
    <w:p w14:paraId="392D558F" w14:textId="5162E1B2" w:rsidR="00657AD9" w:rsidRDefault="003503F0">
      <w:pPr>
        <w:spacing w:after="0" w:line="240" w:lineRule="auto"/>
      </w:pPr>
      <w:r>
        <w:t xml:space="preserve">Bandura, A. (1989). Human agency in social cognitive theory. </w:t>
      </w:r>
      <w:r>
        <w:rPr>
          <w:i/>
          <w:iCs/>
        </w:rPr>
        <w:t>American Psychologist, 44</w:t>
      </w:r>
      <w:r>
        <w:t>(9), 1175-11</w:t>
      </w:r>
      <w:r>
        <w:t>84.</w:t>
      </w:r>
    </w:p>
    <w:p w14:paraId="59794B38" w14:textId="4F9ADF0E" w:rsidR="00657AD9" w:rsidRDefault="00657AD9">
      <w:r>
        <w:rPr>
          <w:b/>
          <w:bCs/>
          <w:noProof/>
        </w:rPr>
        <mc:AlternateContent>
          <mc:Choice Requires="wps">
            <w:drawing>
              <wp:anchor distT="0" distB="0" distL="114300" distR="114300" simplePos="0" relativeHeight="251676672" behindDoc="0" locked="0" layoutInCell="1" allowOverlap="1" wp14:anchorId="036BF5EE" wp14:editId="71E6A42B">
                <wp:simplePos x="0" y="0"/>
                <wp:positionH relativeFrom="column">
                  <wp:posOffset>-248653</wp:posOffset>
                </wp:positionH>
                <wp:positionV relativeFrom="paragraph">
                  <wp:posOffset>681789</wp:posOffset>
                </wp:positionV>
                <wp:extent cx="1740569" cy="264695"/>
                <wp:effectExtent l="0" t="0" r="0" b="0"/>
                <wp:wrapNone/>
                <wp:docPr id="1060474278" name="Text Box 2"/>
                <wp:cNvGraphicFramePr/>
                <a:graphic xmlns:a="http://schemas.openxmlformats.org/drawingml/2006/main">
                  <a:graphicData uri="http://schemas.microsoft.com/office/word/2010/wordprocessingShape">
                    <wps:wsp>
                      <wps:cNvSpPr txBox="1"/>
                      <wps:spPr>
                        <a:xfrm>
                          <a:off x="0" y="0"/>
                          <a:ext cx="1740569" cy="264695"/>
                        </a:xfrm>
                        <a:prstGeom prst="rect">
                          <a:avLst/>
                        </a:prstGeom>
                        <a:noFill/>
                        <a:ln w="6350">
                          <a:noFill/>
                        </a:ln>
                      </wps:spPr>
                      <wps:txbx>
                        <w:txbxContent>
                          <w:p w14:paraId="4171E654" w14:textId="77777777" w:rsidR="00657AD9" w:rsidRPr="00657AD9" w:rsidRDefault="00657AD9" w:rsidP="00657AD9">
                            <w:pPr>
                              <w:rPr>
                                <w:sz w:val="16"/>
                                <w:szCs w:val="16"/>
                              </w:rPr>
                            </w:pPr>
                            <w:r w:rsidRPr="00657AD9">
                              <w:rPr>
                                <w:i/>
                                <w:iCs/>
                                <w:color w:val="999999"/>
                                <w:sz w:val="16"/>
                                <w:szCs w:val="16"/>
                              </w:rPr>
                              <w:t xml:space="preserve">Adapted from S. </w:t>
                            </w:r>
                            <w:r w:rsidRPr="00657AD9">
                              <w:rPr>
                                <w:i/>
                                <w:iCs/>
                                <w:color w:val="999999"/>
                                <w:sz w:val="16"/>
                                <w:szCs w:val="16"/>
                              </w:rPr>
                              <w:t>Rougas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BF5EE" id="_x0000_s1027" type="#_x0000_t202" style="position:absolute;margin-left:-19.6pt;margin-top:53.7pt;width:137.05pt;height:20.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" filled="f" stroked="f" strokeweight=".5pt">
                <v:textbox>
                  <w:txbxContent>
                    <w:p w14:paraId="4171E654" w14:textId="77777777" w:rsidR="00657AD9" w:rsidRPr="00657AD9" w:rsidRDefault="00657AD9" w:rsidP="00657AD9">
                      <w:pPr>
                        <w:rPr>
                          <w:sz w:val="16"/>
                          <w:szCs w:val="16"/>
                        </w:rPr>
                      </w:pPr>
                      <w:r w:rsidRPr="00657AD9">
                        <w:rPr>
                          <w:i/>
                          <w:iCs/>
                          <w:color w:val="999999"/>
                          <w:sz w:val="16"/>
                          <w:szCs w:val="16"/>
                        </w:rPr>
                        <w:t xml:space="preserve">Adapted from S. </w:t>
                      </w:r>
                      <w:r w:rsidRPr="00657AD9">
                        <w:rPr>
                          <w:i/>
                          <w:iCs/>
                          <w:color w:val="999999"/>
                          <w:sz w:val="16"/>
                          <w:szCs w:val="16"/>
                        </w:rPr>
                        <w:t>Rougas (2019)</w:t>
                      </w:r>
                    </w:p>
                  </w:txbxContent>
                </v:textbox>
              </v:shape>
            </w:pict>
          </mc:Fallback>
        </mc:AlternateContent>
      </w:r>
      <w:r>
        <w:br w:type="page"/>
      </w:r>
    </w:p>
    <w:p w14:paraId="4C54197E" w14:textId="77777777" w:rsidR="0003050F" w:rsidRDefault="0003050F">
      <w:pPr>
        <w:spacing w:after="0" w:line="240" w:lineRule="auto"/>
      </w:pPr>
    </w:p>
    <w:p w14:paraId="643B62B9" w14:textId="77777777" w:rsidR="00152183" w:rsidRPr="00152183" w:rsidRDefault="00152183" w:rsidP="00152183">
      <w:pPr>
        <w:pStyle w:val="Heading1"/>
        <w:jc w:val="center"/>
      </w:pPr>
      <w:bookmarkStart w:id="1" w:name="_Toc220919194"/>
      <w:r w:rsidRPr="00152183">
        <w:t>Activity - Theory of Planned Behavior</w:t>
      </w:r>
      <w:bookmarkEnd w:id="1"/>
    </w:p>
    <w:p w14:paraId="554747CB" w14:textId="77777777" w:rsidR="00152183" w:rsidRDefault="00152183" w:rsidP="00152183">
      <w:pPr>
        <w:spacing w:before="240" w:after="240" w:line="276" w:lineRule="auto"/>
        <w:jc w:val="center"/>
        <w:rPr>
          <w:b/>
          <w:bCs/>
        </w:rPr>
      </w:pPr>
      <w:r>
        <w:rPr>
          <w:b/>
          <w:bCs/>
        </w:rPr>
        <w:t>Applying Theoretical and Conceptual Frameworks -- Case Vignette</w:t>
      </w:r>
    </w:p>
    <w:p w14:paraId="2A9A28DD" w14:textId="77777777" w:rsidR="00152183" w:rsidRPr="00152183" w:rsidRDefault="00152183" w:rsidP="00152183">
      <w:pPr>
        <w:spacing w:before="240" w:after="240" w:line="276" w:lineRule="auto"/>
        <w:rPr>
          <w:sz w:val="21"/>
          <w:szCs w:val="21"/>
        </w:rPr>
      </w:pPr>
      <w:r w:rsidRPr="00152183">
        <w:rPr>
          <w:sz w:val="21"/>
          <w:szCs w:val="21"/>
          <w:u w:val="single"/>
        </w:rPr>
        <w:t>Gap/Problem</w:t>
      </w:r>
      <w:r w:rsidRPr="00152183">
        <w:rPr>
          <w:sz w:val="21"/>
          <w:szCs w:val="21"/>
        </w:rPr>
        <w:t>: In response to the rapid expansion of generative artificial intelligence (AI) tools, the University of Anywhere School of Medicine issued guidance permitting student use of AI for independent study. Faculty communications emphasized ethical use, transparency, and alignment with institutional academic integrity policies, while leaving decisions about adoption largely to students. At the end of the academic year, the curriculum office noted wide variation in whether and how students engaged with AI tools when preparing for USMLE Step 1. Some students reported routine use of AI for explaining difficult concepts and organizing study plans, while others avoided AI entirely, citing concerns about accuracy, professionalism, or perceived faculty disapproval. Survey data suggested that access alone did not predict adoption, and that formal instruction on AI use had uneven influence on student behavior.</w:t>
      </w:r>
    </w:p>
    <w:p w14:paraId="771E7242" w14:textId="5F62BF65" w:rsidR="00152183" w:rsidRPr="00152183" w:rsidRDefault="00657AD9" w:rsidP="00152183">
      <w:pPr>
        <w:spacing w:before="240" w:after="240" w:line="276" w:lineRule="auto"/>
        <w:rPr>
          <w:sz w:val="21"/>
          <w:szCs w:val="21"/>
        </w:rPr>
      </w:pPr>
      <w:r>
        <w:rPr>
          <w:b/>
          <w:bCs/>
          <w:noProof/>
        </w:rPr>
        <mc:AlternateContent>
          <mc:Choice Requires="wps">
            <w:drawing>
              <wp:anchor distT="0" distB="0" distL="114300" distR="114300" simplePos="0" relativeHeight="251678720" behindDoc="0" locked="0" layoutInCell="1" allowOverlap="1" wp14:anchorId="426C47EC" wp14:editId="22627139">
                <wp:simplePos x="0" y="0"/>
                <wp:positionH relativeFrom="column">
                  <wp:posOffset>-135122</wp:posOffset>
                </wp:positionH>
                <wp:positionV relativeFrom="paragraph">
                  <wp:posOffset>5611127</wp:posOffset>
                </wp:positionV>
                <wp:extent cx="1740569" cy="264695"/>
                <wp:effectExtent l="0" t="0" r="0" b="0"/>
                <wp:wrapNone/>
                <wp:docPr id="1101915110" name="Text Box 2"/>
                <wp:cNvGraphicFramePr/>
                <a:graphic xmlns:a="http://schemas.openxmlformats.org/drawingml/2006/main">
                  <a:graphicData uri="http://schemas.microsoft.com/office/word/2010/wordprocessingShape">
                    <wps:wsp>
                      <wps:cNvSpPr txBox="1"/>
                      <wps:spPr>
                        <a:xfrm>
                          <a:off x="0" y="0"/>
                          <a:ext cx="1740569" cy="264695"/>
                        </a:xfrm>
                        <a:prstGeom prst="rect">
                          <a:avLst/>
                        </a:prstGeom>
                        <a:noFill/>
                        <a:ln w="6350">
                          <a:noFill/>
                        </a:ln>
                      </wps:spPr>
                      <wps:txbx>
                        <w:txbxContent>
                          <w:p w14:paraId="3834F318" w14:textId="77777777" w:rsidR="00657AD9" w:rsidRPr="00657AD9" w:rsidRDefault="00657AD9" w:rsidP="00657AD9">
                            <w:pPr>
                              <w:rPr>
                                <w:sz w:val="16"/>
                                <w:szCs w:val="16"/>
                              </w:rPr>
                            </w:pPr>
                            <w:r w:rsidRPr="00657AD9">
                              <w:rPr>
                                <w:i/>
                                <w:iCs/>
                                <w:color w:val="999999"/>
                                <w:sz w:val="16"/>
                                <w:szCs w:val="16"/>
                              </w:rPr>
                              <w:t xml:space="preserve">Adapted from S. </w:t>
                            </w:r>
                            <w:r w:rsidRPr="00657AD9">
                              <w:rPr>
                                <w:i/>
                                <w:iCs/>
                                <w:color w:val="999999"/>
                                <w:sz w:val="16"/>
                                <w:szCs w:val="16"/>
                              </w:rPr>
                              <w:t>Rougas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C47EC" id="_x0000_s1028" type="#_x0000_t202" style="position:absolute;margin-left:-10.65pt;margin-top:441.8pt;width:137.05pt;height:20.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" filled="f" stroked="f" strokeweight=".5pt">
                <v:textbox>
                  <w:txbxContent>
                    <w:p w14:paraId="3834F318" w14:textId="77777777" w:rsidR="00657AD9" w:rsidRPr="00657AD9" w:rsidRDefault="00657AD9" w:rsidP="00657AD9">
                      <w:pPr>
                        <w:rPr>
                          <w:sz w:val="16"/>
                          <w:szCs w:val="16"/>
                        </w:rPr>
                      </w:pPr>
                      <w:r w:rsidRPr="00657AD9">
                        <w:rPr>
                          <w:i/>
                          <w:iCs/>
                          <w:color w:val="999999"/>
                          <w:sz w:val="16"/>
                          <w:szCs w:val="16"/>
                        </w:rPr>
                        <w:t xml:space="preserve">Adapted from S. </w:t>
                      </w:r>
                      <w:r w:rsidRPr="00657AD9">
                        <w:rPr>
                          <w:i/>
                          <w:iCs/>
                          <w:color w:val="999999"/>
                          <w:sz w:val="16"/>
                          <w:szCs w:val="16"/>
                        </w:rPr>
                        <w:t>Rougas (2019)</w:t>
                      </w:r>
                    </w:p>
                  </w:txbxContent>
                </v:textbox>
              </v:shape>
            </w:pict>
          </mc:Fallback>
        </mc:AlternateContent>
      </w:r>
      <w:r w:rsidR="00152183" w:rsidRPr="00152183">
        <w:rPr>
          <w:sz w:val="21"/>
          <w:szCs w:val="21"/>
        </w:rPr>
        <w:t xml:space="preserve">Dr. Jordan Lee, a medical education researcher, sought to understand why students made different decisions about whether to incorporate AI into their study practices despite similar access, resources, and exam demands. A review of the literature indicated that adoption of educational technologies is shaped not only by perceived usefulness, but also by social norms, perceived expectations of faculty and peers, and students’ confidence in their ability to use tools effectively and responsibly. </w:t>
      </w:r>
    </w:p>
    <w:tbl>
      <w:tblPr>
        <w:tblW w:w="944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020" w:firstRow="1" w:lastRow="0" w:firstColumn="0" w:lastColumn="0" w:noHBand="0" w:noVBand="0"/>
      </w:tblPr>
      <w:tblGrid>
        <w:gridCol w:w="2515"/>
        <w:gridCol w:w="6930"/>
      </w:tblGrid>
      <w:tr w:rsidR="00152183" w14:paraId="361BA696" w14:textId="77777777" w:rsidTr="004111B1">
        <w:tc>
          <w:tcPr>
            <w:tcW w:w="2515" w:type="dxa"/>
            <w:tcBorders>
              <w:top w:val="single" w:sz="4" w:space="0" w:color="38761D"/>
              <w:left w:val="single" w:sz="4" w:space="0" w:color="38761D"/>
              <w:bottom w:val="single" w:sz="4" w:space="0" w:color="38761D"/>
              <w:right w:val="single" w:sz="4" w:space="0" w:color="38761D"/>
            </w:tcBorders>
            <w:shd w:val="clear" w:color="auto" w:fill="38761D"/>
          </w:tcPr>
          <w:p w14:paraId="66125538" w14:textId="77777777" w:rsidR="00152183" w:rsidRPr="00152183" w:rsidRDefault="00152183" w:rsidP="004111B1">
            <w:pPr>
              <w:rPr>
                <w:color w:val="FFFFFF" w:themeColor="background1"/>
              </w:rPr>
            </w:pPr>
            <w:r w:rsidRPr="00152183">
              <w:rPr>
                <w:color w:val="FFFFFF" w:themeColor="background1"/>
              </w:rPr>
              <w:t>Using the framework</w:t>
            </w:r>
          </w:p>
        </w:tc>
        <w:tc>
          <w:tcPr>
            <w:tcW w:w="6930" w:type="dxa"/>
            <w:tcBorders>
              <w:left w:val="single" w:sz="4" w:space="0" w:color="38761D"/>
              <w:bottom w:val="single" w:sz="4" w:space="0" w:color="38761D"/>
            </w:tcBorders>
            <w:shd w:val="clear" w:color="auto" w:fill="38761D"/>
          </w:tcPr>
          <w:p w14:paraId="685C404D" w14:textId="77777777" w:rsidR="00152183" w:rsidRPr="00152183" w:rsidRDefault="00152183" w:rsidP="004111B1">
            <w:pPr>
              <w:rPr>
                <w:color w:val="FFFFFF" w:themeColor="background1"/>
              </w:rPr>
            </w:pPr>
            <w:r w:rsidRPr="00152183">
              <w:rPr>
                <w:color w:val="FFFFFF" w:themeColor="background1"/>
              </w:rPr>
              <w:t>Theory of Planned Behavior</w:t>
            </w:r>
          </w:p>
        </w:tc>
      </w:tr>
      <w:tr w:rsidR="00152183" w14:paraId="3B29862A" w14:textId="77777777" w:rsidTr="00657AD9">
        <w:trPr>
          <w:trHeight w:val="1088"/>
        </w:trPr>
        <w:tc>
          <w:tcPr>
            <w:tcW w:w="2515" w:type="dxa"/>
            <w:tcBorders>
              <w:top w:val="single" w:sz="4" w:space="0" w:color="38761D"/>
              <w:left w:val="single" w:sz="4" w:space="0" w:color="38761D"/>
              <w:bottom w:val="single" w:sz="4" w:space="0" w:color="38761D"/>
              <w:right w:val="single" w:sz="4" w:space="0" w:color="38761D"/>
            </w:tcBorders>
          </w:tcPr>
          <w:p w14:paraId="5DD28F73" w14:textId="77777777" w:rsidR="00152183" w:rsidRPr="00152183" w:rsidRDefault="00152183" w:rsidP="004111B1">
            <w:pPr>
              <w:rPr>
                <w:sz w:val="21"/>
                <w:szCs w:val="21"/>
              </w:rPr>
            </w:pPr>
            <w:r w:rsidRPr="00152183">
              <w:rPr>
                <w:sz w:val="21"/>
                <w:szCs w:val="21"/>
              </w:rPr>
              <w:t>What research question will help you address the gap/problem in the above scenario?</w:t>
            </w:r>
          </w:p>
        </w:tc>
        <w:tc>
          <w:tcPr>
            <w:tcW w:w="6930" w:type="dxa"/>
            <w:tcBorders>
              <w:top w:val="single" w:sz="4" w:space="0" w:color="38761D"/>
              <w:left w:val="single" w:sz="4" w:space="0" w:color="38761D"/>
              <w:bottom w:val="single" w:sz="4" w:space="0" w:color="38761D"/>
              <w:right w:val="single" w:sz="4" w:space="0" w:color="38761D"/>
            </w:tcBorders>
          </w:tcPr>
          <w:p w14:paraId="71D60923" w14:textId="77777777" w:rsidR="00152183" w:rsidRDefault="00152183" w:rsidP="004111B1"/>
        </w:tc>
      </w:tr>
      <w:tr w:rsidR="00152183" w14:paraId="7CF53729" w14:textId="77777777" w:rsidTr="00657AD9">
        <w:trPr>
          <w:trHeight w:val="1601"/>
        </w:trPr>
        <w:tc>
          <w:tcPr>
            <w:tcW w:w="2515" w:type="dxa"/>
            <w:tcBorders>
              <w:top w:val="single" w:sz="4" w:space="0" w:color="38761D"/>
              <w:left w:val="single" w:sz="4" w:space="0" w:color="38761D"/>
              <w:bottom w:val="single" w:sz="4" w:space="0" w:color="38761D"/>
              <w:right w:val="single" w:sz="4" w:space="0" w:color="38761D"/>
            </w:tcBorders>
          </w:tcPr>
          <w:p w14:paraId="430CDC3D" w14:textId="77777777" w:rsidR="00152183" w:rsidRPr="00152183" w:rsidRDefault="00152183" w:rsidP="004111B1">
            <w:pPr>
              <w:rPr>
                <w:sz w:val="21"/>
                <w:szCs w:val="21"/>
              </w:rPr>
            </w:pPr>
            <w:r w:rsidRPr="00152183">
              <w:rPr>
                <w:sz w:val="21"/>
                <w:szCs w:val="21"/>
              </w:rPr>
              <w:t>How would the research question be affected by using TPB as a lens for viewing the learning (and feedback) process?</w:t>
            </w:r>
          </w:p>
        </w:tc>
        <w:tc>
          <w:tcPr>
            <w:tcW w:w="6930" w:type="dxa"/>
            <w:tcBorders>
              <w:top w:val="single" w:sz="4" w:space="0" w:color="38761D"/>
              <w:left w:val="single" w:sz="4" w:space="0" w:color="38761D"/>
              <w:bottom w:val="single" w:sz="4" w:space="0" w:color="38761D"/>
              <w:right w:val="single" w:sz="4" w:space="0" w:color="38761D"/>
            </w:tcBorders>
          </w:tcPr>
          <w:p w14:paraId="5F69E7F9" w14:textId="77777777" w:rsidR="00152183" w:rsidRDefault="00152183" w:rsidP="004111B1"/>
        </w:tc>
      </w:tr>
      <w:tr w:rsidR="00152183" w14:paraId="722F227B" w14:textId="77777777" w:rsidTr="004111B1">
        <w:trPr>
          <w:trHeight w:val="2600"/>
        </w:trPr>
        <w:tc>
          <w:tcPr>
            <w:tcW w:w="2515" w:type="dxa"/>
            <w:tcBorders>
              <w:top w:val="single" w:sz="4" w:space="0" w:color="38761D"/>
              <w:left w:val="single" w:sz="4" w:space="0" w:color="38761D"/>
              <w:bottom w:val="single" w:sz="4" w:space="0" w:color="38761D"/>
              <w:right w:val="single" w:sz="4" w:space="0" w:color="38761D"/>
            </w:tcBorders>
          </w:tcPr>
          <w:p w14:paraId="66521BD3" w14:textId="77777777" w:rsidR="00152183" w:rsidRPr="00152183" w:rsidRDefault="00152183" w:rsidP="004111B1">
            <w:pPr>
              <w:rPr>
                <w:sz w:val="21"/>
                <w:szCs w:val="21"/>
              </w:rPr>
            </w:pPr>
            <w:r w:rsidRPr="00152183">
              <w:rPr>
                <w:sz w:val="21"/>
                <w:szCs w:val="21"/>
              </w:rPr>
              <w:t>In what areas of the project could TPB be used? Consider:</w:t>
            </w:r>
          </w:p>
          <w:p w14:paraId="7702581F" w14:textId="77777777" w:rsidR="00152183" w:rsidRPr="00152183" w:rsidRDefault="00152183" w:rsidP="00152183">
            <w:pPr>
              <w:numPr>
                <w:ilvl w:val="0"/>
                <w:numId w:val="2"/>
              </w:numPr>
              <w:ind w:left="360" w:hanging="270"/>
              <w:rPr>
                <w:sz w:val="21"/>
                <w:szCs w:val="21"/>
              </w:rPr>
            </w:pPr>
            <w:r w:rsidRPr="00152183">
              <w:rPr>
                <w:sz w:val="21"/>
                <w:szCs w:val="21"/>
              </w:rPr>
              <w:t>Content (What to study?)</w:t>
            </w:r>
          </w:p>
          <w:p w14:paraId="2FFBA1BC" w14:textId="4AE57267" w:rsidR="00152183" w:rsidRPr="00152183" w:rsidRDefault="00152183" w:rsidP="00152183">
            <w:pPr>
              <w:numPr>
                <w:ilvl w:val="0"/>
                <w:numId w:val="2"/>
              </w:numPr>
              <w:ind w:left="360" w:hanging="270"/>
              <w:rPr>
                <w:sz w:val="21"/>
                <w:szCs w:val="21"/>
              </w:rPr>
            </w:pPr>
            <w:r w:rsidRPr="00152183">
              <w:rPr>
                <w:sz w:val="21"/>
                <w:szCs w:val="21"/>
              </w:rPr>
              <w:t>Methods (How to study?)</w:t>
            </w:r>
            <w:r w:rsidR="00657AD9">
              <w:rPr>
                <w:b/>
                <w:bCs/>
                <w:noProof/>
              </w:rPr>
              <w:t xml:space="preserve"> </w:t>
            </w:r>
          </w:p>
          <w:p w14:paraId="63788887" w14:textId="77777777" w:rsidR="00152183" w:rsidRPr="00152183" w:rsidRDefault="00152183" w:rsidP="00152183">
            <w:pPr>
              <w:numPr>
                <w:ilvl w:val="0"/>
                <w:numId w:val="2"/>
              </w:numPr>
              <w:ind w:left="360" w:hanging="270"/>
              <w:rPr>
                <w:sz w:val="21"/>
                <w:szCs w:val="21"/>
              </w:rPr>
            </w:pPr>
            <w:r w:rsidRPr="00152183">
              <w:rPr>
                <w:sz w:val="21"/>
                <w:szCs w:val="21"/>
              </w:rPr>
              <w:t>Interpretation (So what? What’s next?)</w:t>
            </w:r>
          </w:p>
        </w:tc>
        <w:tc>
          <w:tcPr>
            <w:tcW w:w="6930" w:type="dxa"/>
            <w:tcBorders>
              <w:top w:val="single" w:sz="4" w:space="0" w:color="38761D"/>
              <w:left w:val="single" w:sz="4" w:space="0" w:color="38761D"/>
              <w:bottom w:val="single" w:sz="4" w:space="0" w:color="38761D"/>
              <w:right w:val="single" w:sz="4" w:space="0" w:color="38761D"/>
            </w:tcBorders>
          </w:tcPr>
          <w:p w14:paraId="221A9E14" w14:textId="77777777" w:rsidR="00152183" w:rsidRDefault="00152183" w:rsidP="004111B1"/>
        </w:tc>
      </w:tr>
    </w:tbl>
    <w:p w14:paraId="6695B18A" w14:textId="77777777" w:rsidR="00657AD9" w:rsidRDefault="00657AD9" w:rsidP="00152183">
      <w:pPr>
        <w:spacing w:after="0" w:line="240" w:lineRule="auto"/>
        <w:jc w:val="center"/>
        <w:rPr>
          <w:b/>
          <w:bCs/>
        </w:rPr>
      </w:pPr>
    </w:p>
    <w:p w14:paraId="6D9705D6" w14:textId="0A93E3C5" w:rsidR="00152183" w:rsidRDefault="00152183" w:rsidP="00152183">
      <w:pPr>
        <w:spacing w:after="0" w:line="240" w:lineRule="auto"/>
        <w:jc w:val="center"/>
        <w:rPr>
          <w:sz w:val="24"/>
          <w:szCs w:val="24"/>
        </w:rPr>
      </w:pPr>
      <w:r>
        <w:rPr>
          <w:b/>
          <w:bCs/>
        </w:rPr>
        <w:lastRenderedPageBreak/>
        <w:t>Theory of Planned Behavior</w:t>
      </w:r>
    </w:p>
    <w:p w14:paraId="55C7E1AB" w14:textId="77777777" w:rsidR="00152183" w:rsidRDefault="00152183" w:rsidP="00152183">
      <w:pPr>
        <w:spacing w:before="240" w:after="0" w:line="240" w:lineRule="auto"/>
      </w:pPr>
      <w:r>
        <w:rPr>
          <w:b/>
          <w:bCs/>
        </w:rPr>
        <w:t>Brief Description</w:t>
      </w:r>
    </w:p>
    <w:p w14:paraId="702951C8" w14:textId="77777777" w:rsidR="00152183" w:rsidRPr="00152183" w:rsidRDefault="00152183" w:rsidP="00152183">
      <w:pPr>
        <w:spacing w:before="240" w:after="0" w:line="240" w:lineRule="auto"/>
        <w:rPr>
          <w:sz w:val="21"/>
          <w:szCs w:val="21"/>
        </w:rPr>
      </w:pPr>
      <w:r w:rsidRPr="00152183">
        <w:rPr>
          <w:sz w:val="21"/>
          <w:szCs w:val="21"/>
        </w:rPr>
        <w:t>The theory of planned behavior (TPB) was developed to explain and predict human behavior in situations where individuals do not have complete volitional control (Ajzen, 1991). Building on the theory of reasoned action, TPB posits that behavior is primarily determined by behavioral intention, which is itself influenced by three behavior-specific factors: attitude toward the behavior, subjective norms, and perceived behavioral control (Ajzen, 1991). Attitude reflects an individual’s evaluation of the desirability of the behavior, subjective norms represent perceived social pressure to perform or not perform the behavior, and perceived behavioral control refers to the individual’s belief about their ability, resources, and control over performing the behavior. Perceived behavioral control is a central addition to the model, accounting for situations where external constraints limit action, and it is theorized to influence behavior both directly and indirectly through intention. Intention reflects an individual’s motivation and willingness to perform a behavior at a particular time and under particular conditions, and when perceived behavioral control is accurate, intention and perceived behavioral control together can predict behavior with considerable accuracy. Through the interaction of attitudes, social norms, and perceived control, the theory of planned behavior provides a systematic framework for understanding how beliefs shape intentions and how intentions translate into action (Ajzen, 1991).</w:t>
      </w:r>
    </w:p>
    <w:p w14:paraId="7C335EBD" w14:textId="77777777" w:rsidR="00152183" w:rsidRDefault="00152183" w:rsidP="00152183">
      <w:pPr>
        <w:spacing w:before="240" w:after="0" w:line="240" w:lineRule="auto"/>
      </w:pPr>
      <w:r>
        <w:rPr>
          <w:b/>
          <w:bCs/>
        </w:rPr>
        <w:t>Example</w:t>
      </w:r>
    </w:p>
    <w:p w14:paraId="59C666E1" w14:textId="77777777" w:rsidR="00152183" w:rsidRPr="00152183" w:rsidRDefault="00152183" w:rsidP="00152183">
      <w:pPr>
        <w:spacing w:before="240" w:after="0" w:line="240" w:lineRule="auto"/>
        <w:rPr>
          <w:color w:val="1155CC"/>
          <w:sz w:val="21"/>
          <w:szCs w:val="21"/>
        </w:rPr>
      </w:pPr>
      <w:r w:rsidRPr="00152183">
        <w:rPr>
          <w:color w:val="222222"/>
          <w:sz w:val="18"/>
          <w:szCs w:val="18"/>
          <w:highlight w:val="white"/>
        </w:rPr>
        <w:t xml:space="preserve">Skoglund, E., Fernandez, J., Sherer, J. T., Coyle, E. A., Garey, K. W., Fleming, M. L., &amp; </w:t>
      </w:r>
      <w:proofErr w:type="spellStart"/>
      <w:r w:rsidRPr="00152183">
        <w:rPr>
          <w:color w:val="222222"/>
          <w:sz w:val="18"/>
          <w:szCs w:val="18"/>
          <w:highlight w:val="white"/>
        </w:rPr>
        <w:t>Sofjan</w:t>
      </w:r>
      <w:proofErr w:type="spellEnd"/>
      <w:r w:rsidRPr="00152183">
        <w:rPr>
          <w:color w:val="222222"/>
          <w:sz w:val="18"/>
          <w:szCs w:val="18"/>
          <w:highlight w:val="white"/>
        </w:rPr>
        <w:t xml:space="preserve">, A. K. (2020). Using the theory of planned behavior to evaluate factors that influence </w:t>
      </w:r>
      <w:proofErr w:type="spellStart"/>
      <w:r w:rsidRPr="00152183">
        <w:rPr>
          <w:color w:val="222222"/>
          <w:sz w:val="18"/>
          <w:szCs w:val="18"/>
          <w:highlight w:val="white"/>
        </w:rPr>
        <w:t>pharmD</w:t>
      </w:r>
      <w:proofErr w:type="spellEnd"/>
      <w:r w:rsidRPr="00152183">
        <w:rPr>
          <w:color w:val="222222"/>
          <w:sz w:val="18"/>
          <w:szCs w:val="18"/>
          <w:highlight w:val="white"/>
        </w:rPr>
        <w:t xml:space="preserve"> students’ intention to attend lectures. </w:t>
      </w:r>
      <w:r w:rsidRPr="00152183">
        <w:rPr>
          <w:i/>
          <w:iCs/>
          <w:color w:val="222222"/>
          <w:sz w:val="18"/>
          <w:szCs w:val="18"/>
          <w:highlight w:val="white"/>
        </w:rPr>
        <w:t>American journal of pharmaceutical education</w:t>
      </w:r>
      <w:r w:rsidRPr="00152183">
        <w:rPr>
          <w:color w:val="222222"/>
          <w:sz w:val="18"/>
          <w:szCs w:val="18"/>
          <w:highlight w:val="white"/>
        </w:rPr>
        <w:t xml:space="preserve">, </w:t>
      </w:r>
      <w:r w:rsidRPr="00152183">
        <w:rPr>
          <w:i/>
          <w:iCs/>
          <w:color w:val="222222"/>
          <w:sz w:val="18"/>
          <w:szCs w:val="18"/>
          <w:highlight w:val="white"/>
        </w:rPr>
        <w:t>84</w:t>
      </w:r>
      <w:r w:rsidRPr="00152183">
        <w:rPr>
          <w:color w:val="222222"/>
          <w:sz w:val="18"/>
          <w:szCs w:val="18"/>
          <w:highlight w:val="white"/>
        </w:rPr>
        <w:t>(5), 7550.</w:t>
      </w:r>
    </w:p>
    <w:p w14:paraId="2B65A712" w14:textId="77777777" w:rsidR="00152183" w:rsidRPr="00152183" w:rsidRDefault="00152183" w:rsidP="00152183">
      <w:pPr>
        <w:spacing w:before="240" w:after="0" w:line="240" w:lineRule="auto"/>
        <w:rPr>
          <w:i/>
          <w:iCs/>
          <w:sz w:val="21"/>
          <w:szCs w:val="21"/>
        </w:rPr>
      </w:pPr>
      <w:r w:rsidRPr="00152183">
        <w:rPr>
          <w:i/>
          <w:iCs/>
          <w:sz w:val="21"/>
          <w:szCs w:val="21"/>
        </w:rPr>
        <w:t>“The Theory of Planned Behavior (TPB) was used to evaluate factors influencing pharmacy students' intention to attend class lectures when video recordings were available. In this study, TPB's three key constructs of attitude, subjective norm, and perceived behavioral control were examined as predictors of students' behavioral intention to attend lectures. Through focus groups and surveys with 198 PharmD students, researchers found that attitude toward lecture attendance (students' beliefs about the consequences of attending, such as whether lectures contain interactive exercises with relevant applications or save study time later) and subjective norm (perceived social pressure from professors and classmates to attend) were significant predictors of students' intention to attend lectures. Students with positive attitudes toward lecture attendance were nearly 30% more likely to have high intention to attend, while those with positive subjective norms were 66% more likely to have high intention to attend. However, perceived behavioral control was not significantly associated with intention to attend. The findings suggest that interventions aimed at improving students' attitudes about the value of in-person attendance and strengthening social expectations around attendance may be more effective than addressing logistical barriers in increasing lecture attendance when recordings are available.”</w:t>
      </w:r>
    </w:p>
    <w:p w14:paraId="75C73580" w14:textId="77777777" w:rsidR="00152183" w:rsidRDefault="00152183" w:rsidP="00152183">
      <w:pPr>
        <w:spacing w:before="240" w:after="0" w:line="240" w:lineRule="auto"/>
        <w:rPr>
          <w:sz w:val="20"/>
          <w:szCs w:val="20"/>
        </w:rPr>
      </w:pPr>
      <w:r>
        <w:rPr>
          <w:b/>
          <w:bCs/>
        </w:rPr>
        <w:t>References</w:t>
      </w:r>
    </w:p>
    <w:p w14:paraId="765C7924" w14:textId="77777777" w:rsidR="00152183" w:rsidRDefault="00152183" w:rsidP="00152183">
      <w:pPr>
        <w:spacing w:before="240" w:after="0" w:line="240" w:lineRule="auto"/>
        <w:rPr>
          <w:sz w:val="20"/>
          <w:szCs w:val="20"/>
        </w:rPr>
      </w:pPr>
      <w:r>
        <w:rPr>
          <w:sz w:val="20"/>
          <w:szCs w:val="20"/>
        </w:rPr>
        <w:t xml:space="preserve">Ajzen, I. (1991). The theory of planned behavior. </w:t>
      </w:r>
      <w:r>
        <w:rPr>
          <w:i/>
          <w:iCs/>
          <w:sz w:val="20"/>
          <w:szCs w:val="20"/>
        </w:rPr>
        <w:t>Organizational behavior and human decision processes</w:t>
      </w:r>
      <w:r>
        <w:rPr>
          <w:sz w:val="20"/>
          <w:szCs w:val="20"/>
        </w:rPr>
        <w:t>, 50(2), 179-211.</w:t>
      </w:r>
    </w:p>
    <w:p w14:paraId="04051ACC" w14:textId="77777777" w:rsidR="00657AD9" w:rsidRDefault="00152183" w:rsidP="00657AD9">
      <w:pPr>
        <w:spacing w:before="240" w:after="0" w:line="240" w:lineRule="auto"/>
        <w:rPr>
          <w:color w:val="222222"/>
          <w:sz w:val="20"/>
          <w:szCs w:val="20"/>
        </w:rPr>
      </w:pPr>
      <w:r>
        <w:rPr>
          <w:color w:val="222222"/>
          <w:sz w:val="20"/>
          <w:szCs w:val="20"/>
          <w:highlight w:val="white"/>
        </w:rPr>
        <w:t xml:space="preserve">Skoglund, E., Fernandez, J., Sherer, J. T., Coyle, E. A., Garey, K. W., Fleming, M. L., &amp; </w:t>
      </w:r>
      <w:proofErr w:type="spellStart"/>
      <w:r>
        <w:rPr>
          <w:color w:val="222222"/>
          <w:sz w:val="20"/>
          <w:szCs w:val="20"/>
          <w:highlight w:val="white"/>
        </w:rPr>
        <w:t>Sofjan</w:t>
      </w:r>
      <w:proofErr w:type="spellEnd"/>
      <w:r>
        <w:rPr>
          <w:color w:val="222222"/>
          <w:sz w:val="20"/>
          <w:szCs w:val="20"/>
          <w:highlight w:val="white"/>
        </w:rPr>
        <w:t xml:space="preserve">, A. K. (2020). Using the theory of planned behavior to evaluate factors that influence </w:t>
      </w:r>
      <w:proofErr w:type="spellStart"/>
      <w:r>
        <w:rPr>
          <w:color w:val="222222"/>
          <w:sz w:val="20"/>
          <w:szCs w:val="20"/>
          <w:highlight w:val="white"/>
        </w:rPr>
        <w:t>pharmD</w:t>
      </w:r>
      <w:proofErr w:type="spellEnd"/>
      <w:r>
        <w:rPr>
          <w:color w:val="222222"/>
          <w:sz w:val="20"/>
          <w:szCs w:val="20"/>
          <w:highlight w:val="white"/>
        </w:rPr>
        <w:t xml:space="preserve"> students’ intention to attend lectures. </w:t>
      </w:r>
      <w:r>
        <w:rPr>
          <w:i/>
          <w:iCs/>
          <w:color w:val="222222"/>
          <w:sz w:val="20"/>
          <w:szCs w:val="20"/>
          <w:highlight w:val="white"/>
        </w:rPr>
        <w:t>American journal of pharmaceutical education</w:t>
      </w:r>
      <w:r>
        <w:rPr>
          <w:color w:val="222222"/>
          <w:sz w:val="20"/>
          <w:szCs w:val="20"/>
          <w:highlight w:val="white"/>
        </w:rPr>
        <w:t xml:space="preserve">, </w:t>
      </w:r>
      <w:r>
        <w:rPr>
          <w:i/>
          <w:iCs/>
          <w:color w:val="222222"/>
          <w:sz w:val="20"/>
          <w:szCs w:val="20"/>
          <w:highlight w:val="white"/>
        </w:rPr>
        <w:t>84</w:t>
      </w:r>
      <w:r>
        <w:rPr>
          <w:color w:val="222222"/>
          <w:sz w:val="20"/>
          <w:szCs w:val="20"/>
          <w:highlight w:val="white"/>
        </w:rPr>
        <w:t>(5), 7550.</w:t>
      </w:r>
    </w:p>
    <w:p w14:paraId="11092A54" w14:textId="77777777" w:rsidR="00657AD9" w:rsidRDefault="00657AD9">
      <w:pPr>
        <w:rPr>
          <w:color w:val="222222"/>
          <w:sz w:val="20"/>
          <w:szCs w:val="20"/>
        </w:rPr>
      </w:pPr>
    </w:p>
    <w:p w14:paraId="39861911" w14:textId="1B4485C6" w:rsidR="00657AD9" w:rsidRDefault="00657AD9">
      <w:pPr>
        <w:rPr>
          <w:color w:val="222222"/>
          <w:sz w:val="20"/>
          <w:szCs w:val="20"/>
        </w:rPr>
      </w:pPr>
      <w:r>
        <w:rPr>
          <w:b/>
          <w:bCs/>
          <w:noProof/>
        </w:rPr>
        <mc:AlternateContent>
          <mc:Choice Requires="wps">
            <w:drawing>
              <wp:anchor distT="0" distB="0" distL="114300" distR="114300" simplePos="0" relativeHeight="251680768" behindDoc="0" locked="0" layoutInCell="1" allowOverlap="1" wp14:anchorId="2ECCB74D" wp14:editId="4864FBF0">
                <wp:simplePos x="0" y="0"/>
                <wp:positionH relativeFrom="column">
                  <wp:posOffset>-96253</wp:posOffset>
                </wp:positionH>
                <wp:positionV relativeFrom="paragraph">
                  <wp:posOffset>392397</wp:posOffset>
                </wp:positionV>
                <wp:extent cx="1740569" cy="264695"/>
                <wp:effectExtent l="0" t="0" r="0" b="0"/>
                <wp:wrapNone/>
                <wp:docPr id="769860887" name="Text Box 2"/>
                <wp:cNvGraphicFramePr/>
                <a:graphic xmlns:a="http://schemas.openxmlformats.org/drawingml/2006/main">
                  <a:graphicData uri="http://schemas.microsoft.com/office/word/2010/wordprocessingShape">
                    <wps:wsp>
                      <wps:cNvSpPr txBox="1"/>
                      <wps:spPr>
                        <a:xfrm>
                          <a:off x="0" y="0"/>
                          <a:ext cx="1740569" cy="264695"/>
                        </a:xfrm>
                        <a:prstGeom prst="rect">
                          <a:avLst/>
                        </a:prstGeom>
                        <a:noFill/>
                        <a:ln w="6350">
                          <a:noFill/>
                        </a:ln>
                      </wps:spPr>
                      <wps:txbx>
                        <w:txbxContent>
                          <w:p w14:paraId="5DAF3D51" w14:textId="77777777" w:rsidR="00657AD9" w:rsidRPr="00657AD9" w:rsidRDefault="00657AD9" w:rsidP="00657AD9">
                            <w:pPr>
                              <w:rPr>
                                <w:sz w:val="16"/>
                                <w:szCs w:val="16"/>
                              </w:rPr>
                            </w:pPr>
                            <w:r w:rsidRPr="00657AD9">
                              <w:rPr>
                                <w:i/>
                                <w:iCs/>
                                <w:color w:val="999999"/>
                                <w:sz w:val="16"/>
                                <w:szCs w:val="16"/>
                              </w:rPr>
                              <w:t xml:space="preserve">Adapted from S. </w:t>
                            </w:r>
                            <w:r w:rsidRPr="00657AD9">
                              <w:rPr>
                                <w:i/>
                                <w:iCs/>
                                <w:color w:val="999999"/>
                                <w:sz w:val="16"/>
                                <w:szCs w:val="16"/>
                              </w:rPr>
                              <w:t>Rougas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CB74D" id="_x0000_s1029" type="#_x0000_t202" style="position:absolute;margin-left:-7.6pt;margin-top:30.9pt;width:137.05pt;height:20.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" filled="f" stroked="f" strokeweight=".5pt">
                <v:textbox>
                  <w:txbxContent>
                    <w:p w14:paraId="5DAF3D51" w14:textId="77777777" w:rsidR="00657AD9" w:rsidRPr="00657AD9" w:rsidRDefault="00657AD9" w:rsidP="00657AD9">
                      <w:pPr>
                        <w:rPr>
                          <w:sz w:val="16"/>
                          <w:szCs w:val="16"/>
                        </w:rPr>
                      </w:pPr>
                      <w:r w:rsidRPr="00657AD9">
                        <w:rPr>
                          <w:i/>
                          <w:iCs/>
                          <w:color w:val="999999"/>
                          <w:sz w:val="16"/>
                          <w:szCs w:val="16"/>
                        </w:rPr>
                        <w:t xml:space="preserve">Adapted from S. </w:t>
                      </w:r>
                      <w:r w:rsidRPr="00657AD9">
                        <w:rPr>
                          <w:i/>
                          <w:iCs/>
                          <w:color w:val="999999"/>
                          <w:sz w:val="16"/>
                          <w:szCs w:val="16"/>
                        </w:rPr>
                        <w:t>Rougas (2019)</w:t>
                      </w:r>
                    </w:p>
                  </w:txbxContent>
                </v:textbox>
              </v:shape>
            </w:pict>
          </mc:Fallback>
        </mc:AlternateContent>
      </w:r>
      <w:r>
        <w:rPr>
          <w:color w:val="222222"/>
          <w:sz w:val="20"/>
          <w:szCs w:val="20"/>
        </w:rPr>
        <w:br w:type="page"/>
      </w:r>
    </w:p>
    <w:p w14:paraId="6BE76DBE" w14:textId="23077D4F" w:rsidR="00152183" w:rsidRPr="00657AD9" w:rsidRDefault="00152183" w:rsidP="00657AD9">
      <w:pPr>
        <w:pStyle w:val="Heading1"/>
        <w:jc w:val="center"/>
      </w:pPr>
      <w:bookmarkStart w:id="2" w:name="_Toc220919195"/>
      <w:r w:rsidRPr="00657AD9">
        <w:lastRenderedPageBreak/>
        <w:t>Overview of Selected Theories and Frameworks</w:t>
      </w:r>
      <w:bookmarkEnd w:id="2"/>
    </w:p>
    <w:tbl>
      <w:tblPr>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7125"/>
      </w:tblGrid>
      <w:tr w:rsidR="00152183" w14:paraId="18893A96" w14:textId="77777777" w:rsidTr="00152183">
        <w:trPr>
          <w:trHeight w:val="386"/>
        </w:trPr>
        <w:tc>
          <w:tcPr>
            <w:tcW w:w="2400" w:type="dxa"/>
          </w:tcPr>
          <w:p w14:paraId="2869F95A" w14:textId="77777777" w:rsidR="00152183" w:rsidRDefault="00152183" w:rsidP="004111B1">
            <w:pPr>
              <w:jc w:val="center"/>
              <w:rPr>
                <w:rFonts w:eastAsia="Arial" w:cs="Arial"/>
                <w:b/>
                <w:bCs/>
              </w:rPr>
            </w:pPr>
            <w:r>
              <w:rPr>
                <w:rFonts w:eastAsia="Arial" w:cs="Arial"/>
                <w:b/>
                <w:bCs/>
              </w:rPr>
              <w:t>Theory/Framework</w:t>
            </w:r>
          </w:p>
        </w:tc>
        <w:tc>
          <w:tcPr>
            <w:tcW w:w="7125" w:type="dxa"/>
          </w:tcPr>
          <w:p w14:paraId="048FB7C2" w14:textId="77777777" w:rsidR="00152183" w:rsidRDefault="00152183" w:rsidP="004111B1">
            <w:pPr>
              <w:jc w:val="center"/>
              <w:rPr>
                <w:rFonts w:eastAsia="Arial" w:cs="Arial"/>
                <w:b/>
                <w:bCs/>
              </w:rPr>
            </w:pPr>
            <w:r>
              <w:rPr>
                <w:rFonts w:eastAsia="Arial" w:cs="Arial"/>
                <w:b/>
                <w:bCs/>
              </w:rPr>
              <w:t>Description</w:t>
            </w:r>
          </w:p>
        </w:tc>
      </w:tr>
      <w:tr w:rsidR="00152183" w14:paraId="6C5F7F21" w14:textId="77777777" w:rsidTr="004111B1">
        <w:trPr>
          <w:trHeight w:val="2888"/>
        </w:trPr>
        <w:tc>
          <w:tcPr>
            <w:tcW w:w="2400" w:type="dxa"/>
          </w:tcPr>
          <w:p w14:paraId="63994D4E" w14:textId="77777777" w:rsidR="00152183" w:rsidRDefault="00152183" w:rsidP="004111B1">
            <w:pPr>
              <w:rPr>
                <w:rFonts w:eastAsia="Arial" w:cs="Arial"/>
                <w:b/>
                <w:bCs/>
              </w:rPr>
            </w:pPr>
            <w:r>
              <w:rPr>
                <w:rFonts w:eastAsia="Arial" w:cs="Arial"/>
                <w:b/>
                <w:bCs/>
                <w:color w:val="000000"/>
              </w:rPr>
              <w:t>Situated Learning Theory</w:t>
            </w:r>
          </w:p>
        </w:tc>
        <w:tc>
          <w:tcPr>
            <w:tcW w:w="7125" w:type="dxa"/>
          </w:tcPr>
          <w:p w14:paraId="0B3787C0" w14:textId="77777777" w:rsidR="00152183" w:rsidRPr="00152183" w:rsidRDefault="00152183" w:rsidP="004111B1">
            <w:pPr>
              <w:rPr>
                <w:rFonts w:eastAsia="Arial" w:cs="Arial"/>
                <w:sz w:val="21"/>
                <w:szCs w:val="21"/>
              </w:rPr>
            </w:pPr>
            <w:r w:rsidRPr="00152183">
              <w:rPr>
                <w:rFonts w:eastAsia="Arial" w:cs="Arial"/>
                <w:color w:val="000000"/>
                <w:sz w:val="21"/>
                <w:szCs w:val="21"/>
              </w:rPr>
              <w:t>Situated Learning Theory (SLT) was developed by Jean Lave and Etienne Wenger (1991), who offered a perspective on how people learn that differs from traditional individualistic and cognitivist ways of conceptualizing learning. According to SLT, learning is situated in a local and social context, rather than occurring solely inside a person’s head. Specifically, learning happens within a community of practice in which senior members at the community’s core guide and facilitate the participation of new members on the periphery, and community member development occurs through shared practice. Deepened participation in the community of practice--i.e., learning--is enabled by dialogue and interaction with others and often is unintentional, rather than deliberate.</w:t>
            </w:r>
          </w:p>
        </w:tc>
      </w:tr>
      <w:tr w:rsidR="00152183" w14:paraId="66E0D2F1" w14:textId="77777777" w:rsidTr="004111B1">
        <w:trPr>
          <w:trHeight w:val="3030"/>
        </w:trPr>
        <w:tc>
          <w:tcPr>
            <w:tcW w:w="2400" w:type="dxa"/>
          </w:tcPr>
          <w:p w14:paraId="269CFF8A" w14:textId="77777777" w:rsidR="00152183" w:rsidRDefault="00152183" w:rsidP="004111B1">
            <w:pPr>
              <w:rPr>
                <w:rFonts w:eastAsia="Arial" w:cs="Arial"/>
                <w:b/>
                <w:bCs/>
              </w:rPr>
            </w:pPr>
            <w:r>
              <w:rPr>
                <w:rFonts w:eastAsia="Arial" w:cs="Arial"/>
                <w:b/>
                <w:bCs/>
              </w:rPr>
              <w:t>Theory of Planned Behavior</w:t>
            </w:r>
          </w:p>
        </w:tc>
        <w:tc>
          <w:tcPr>
            <w:tcW w:w="7125" w:type="dxa"/>
          </w:tcPr>
          <w:p w14:paraId="70040FD8" w14:textId="77777777" w:rsidR="00152183" w:rsidRPr="00152183" w:rsidRDefault="00152183" w:rsidP="004111B1">
            <w:pPr>
              <w:rPr>
                <w:rFonts w:eastAsia="Arial" w:cs="Arial"/>
                <w:sz w:val="21"/>
                <w:szCs w:val="21"/>
              </w:rPr>
            </w:pPr>
            <w:r w:rsidRPr="00152183">
              <w:rPr>
                <w:rFonts w:eastAsia="Arial" w:cs="Arial"/>
                <w:sz w:val="21"/>
                <w:szCs w:val="21"/>
              </w:rPr>
              <w:t>The theory of planned behavior (TPB) was developed to explain and predict human behavior in situations where individuals do not have complete volitional control (Ajzen, 1985, 1991). Building on the theory of reasoned action, TPB posits that behavior is primarily determined by behavioral intention, which is itself influenced by three behavior-specific factors: attitude toward the behavior, subjective norms, and perceived behavioral control (Ajzen, 1991). Attitude reflects an individual’s evaluation of the desirability of the behavior, subjective norms represent perceived social pressure to perform or not perform the behavior, and perceived behavioral control refers to the individual’s belief about their ability, resources, and control over performing the behavior. Perceived behavioral control is a central addition to the model, accounting for situations where external constraints limit action, and it is theorized to influence behavior both directly and indirectly through intention. Intention reflects an individual’s motivation and willingness to perform a behavior at a particular time and under particular conditions, and when perceived behavioral control is accurate, intention and perceived behavioral control together can predict behavior with considerable accuracy. Through the interaction of attitudes, social norms, and perceived control, the theory of planned behavior provides a systematic framework for understanding how beliefs shape intentions and how intentions translate into action (Ajzen, 1991).</w:t>
            </w:r>
          </w:p>
        </w:tc>
      </w:tr>
      <w:tr w:rsidR="00152183" w14:paraId="15350769" w14:textId="77777777" w:rsidTr="004111B1">
        <w:trPr>
          <w:trHeight w:val="2595"/>
        </w:trPr>
        <w:tc>
          <w:tcPr>
            <w:tcW w:w="2400" w:type="dxa"/>
          </w:tcPr>
          <w:p w14:paraId="5A0962F5" w14:textId="77777777" w:rsidR="00152183" w:rsidRDefault="00152183" w:rsidP="004111B1">
            <w:pPr>
              <w:rPr>
                <w:rFonts w:eastAsia="Arial" w:cs="Arial"/>
                <w:b/>
                <w:bCs/>
              </w:rPr>
            </w:pPr>
            <w:r>
              <w:rPr>
                <w:rFonts w:eastAsia="Arial" w:cs="Arial"/>
                <w:b/>
                <w:bCs/>
              </w:rPr>
              <w:t>Social Cognitive Theory</w:t>
            </w:r>
          </w:p>
        </w:tc>
        <w:tc>
          <w:tcPr>
            <w:tcW w:w="7125" w:type="dxa"/>
          </w:tcPr>
          <w:p w14:paraId="35263110" w14:textId="77777777" w:rsidR="00152183" w:rsidRPr="00152183" w:rsidRDefault="00152183" w:rsidP="004111B1">
            <w:pPr>
              <w:rPr>
                <w:rFonts w:eastAsia="Arial" w:cs="Arial"/>
                <w:sz w:val="21"/>
                <w:szCs w:val="21"/>
              </w:rPr>
            </w:pPr>
            <w:r w:rsidRPr="00152183">
              <w:rPr>
                <w:rFonts w:eastAsia="Arial" w:cs="Arial"/>
                <w:sz w:val="21"/>
                <w:szCs w:val="21"/>
              </w:rPr>
              <w:t>Social Cognitive Theory (SCT) was developed by Albert Bandura (1991) and views learners as active agents who bring their own beliefs, goals, values, and prior knowledge to the learning process. Learners can regulate their own learning when they receive appropriate support, planning, monitoring, and reflecting on their performance. This theory focuses on the influence of three spheres: behavior factors such as skills, practice, and self-efficacy; personal factors such as knowledge, expectations, and attitudes, and environmental factors such as social norms, access, and influence on others or the ability to change one's own environment.</w:t>
            </w:r>
          </w:p>
        </w:tc>
      </w:tr>
      <w:tr w:rsidR="00152183" w14:paraId="0CE004AC" w14:textId="77777777" w:rsidTr="004111B1">
        <w:tc>
          <w:tcPr>
            <w:tcW w:w="2400" w:type="dxa"/>
          </w:tcPr>
          <w:p w14:paraId="2E69FD65" w14:textId="77777777" w:rsidR="00152183" w:rsidRDefault="00152183" w:rsidP="004111B1">
            <w:pPr>
              <w:rPr>
                <w:rFonts w:eastAsia="Arial" w:cs="Arial"/>
                <w:b/>
                <w:bCs/>
              </w:rPr>
            </w:pPr>
            <w:r>
              <w:rPr>
                <w:rFonts w:eastAsia="Arial" w:cs="Arial"/>
                <w:b/>
                <w:bCs/>
              </w:rPr>
              <w:lastRenderedPageBreak/>
              <w:t>Social Ecological Model</w:t>
            </w:r>
          </w:p>
        </w:tc>
        <w:tc>
          <w:tcPr>
            <w:tcW w:w="7125" w:type="dxa"/>
          </w:tcPr>
          <w:p w14:paraId="332AD2A6" w14:textId="77777777" w:rsidR="00152183" w:rsidRPr="00152183" w:rsidRDefault="00152183" w:rsidP="004111B1">
            <w:pPr>
              <w:rPr>
                <w:rFonts w:eastAsia="Arial" w:cs="Arial"/>
                <w:sz w:val="21"/>
                <w:szCs w:val="21"/>
              </w:rPr>
            </w:pPr>
            <w:r w:rsidRPr="00152183">
              <w:rPr>
                <w:rFonts w:eastAsia="Arial" w:cs="Arial"/>
                <w:sz w:val="21"/>
                <w:szCs w:val="21"/>
              </w:rPr>
              <w:t>Human behavior and development are shaped not only by individual characteristics but by the nested social and environmental systems in which individuals are embedded, yet these multilevel influences are often under-theorized when examining health and educational outcomes. While individual behaviors are frequently treated as isolated choices, they are in fact produced through ongoing interactions between persons and their immediate, interpersonal, organizational, community, and policy environments. Bronfenbrenner’s Social Ecological Model conceptualizes development as occurring within a set of interrelated, multilayered systems, emphasizing that individuals both influence and are influenced by the social contexts in which they participate (Bronfenbrenner, 1977). In this framework, outcomes emerge from cumulative and reciprocal interactions across levels of influence rather than from any single factor operating in isolation. Applying a social ecological perspective shifts analytic attention from individual behavior alone to the broader systems that enable or constrain action, highlighting how interventions that target multiple levels simultaneously are more likely to produce sustainable change. The Social Ecological Model offers a powerful framework for recognizing the complexity of behavior within real-world contexts and for identifying coordinated intervention strategies that align individual action with supportive social and structural conditions.</w:t>
            </w:r>
          </w:p>
        </w:tc>
      </w:tr>
      <w:tr w:rsidR="00152183" w14:paraId="575F69BE" w14:textId="77777777" w:rsidTr="004111B1">
        <w:tc>
          <w:tcPr>
            <w:tcW w:w="2400" w:type="dxa"/>
          </w:tcPr>
          <w:p w14:paraId="091FF036" w14:textId="77777777" w:rsidR="00152183" w:rsidRDefault="00152183" w:rsidP="004111B1">
            <w:pPr>
              <w:rPr>
                <w:rFonts w:eastAsia="Arial" w:cs="Arial"/>
                <w:b/>
                <w:bCs/>
              </w:rPr>
            </w:pPr>
            <w:r>
              <w:rPr>
                <w:rFonts w:eastAsia="Arial" w:cs="Arial"/>
                <w:b/>
                <w:bCs/>
              </w:rPr>
              <w:t>Professional Identify Formation</w:t>
            </w:r>
          </w:p>
        </w:tc>
        <w:tc>
          <w:tcPr>
            <w:tcW w:w="7125" w:type="dxa"/>
          </w:tcPr>
          <w:p w14:paraId="294F0429" w14:textId="77777777" w:rsidR="00152183" w:rsidRPr="00152183" w:rsidRDefault="00152183" w:rsidP="004111B1">
            <w:pPr>
              <w:rPr>
                <w:rFonts w:eastAsia="Arial" w:cs="Arial"/>
                <w:sz w:val="21"/>
                <w:szCs w:val="21"/>
              </w:rPr>
            </w:pPr>
            <w:r w:rsidRPr="00152183">
              <w:rPr>
                <w:rFonts w:eastAsia="Arial" w:cs="Arial"/>
                <w:sz w:val="21"/>
                <w:szCs w:val="21"/>
              </w:rPr>
              <w:t>Professional identity formation (PIF) is a developmental process through which learners come to think, act, and feel like members of a profession, integrating professional values, norms, and roles into their evolving sense of self. Rather than being a discrete outcome, PIF is understood as a longitudinal, dynamic, and socially situated process shaped by individuals’ experiences, reflections, and interactions within educational and clinical environments. Foundational theories conceptualize PIF as occurring through participation in communities of practice, where learners are socialized into the profession through role modeling, feedback, mentorship, and engagement with the formal, informal, and hidden curricula (Sarraf</w:t>
            </w:r>
            <w:r w:rsidRPr="00152183">
              <w:rPr>
                <w:rFonts w:ascii="Cambria Math" w:eastAsia="Arial" w:hAnsi="Cambria Math" w:cs="Cambria Math"/>
                <w:sz w:val="21"/>
                <w:szCs w:val="21"/>
              </w:rPr>
              <w:t>‐</w:t>
            </w:r>
            <w:r w:rsidRPr="00152183">
              <w:rPr>
                <w:rFonts w:eastAsia="Arial" w:cs="Arial"/>
                <w:sz w:val="21"/>
                <w:szCs w:val="21"/>
              </w:rPr>
              <w:t>Yazdi et al., 2023). Central to this process is learners’ active sense-making as they encounter experiences that may resonate with or challenge their existing beliefs, values, and identities, prompting reflection, integration, or renegotiation of self-concepts. Contemporary theory-informed models describe PIF as emerging from the cumulative interaction of individual, relational, institutional, and societal influences, operating through iterative cycles of reflection, socialization, and meaning-making over time. As such, professional identity formation provides a powerful explanatory framework for understanding variability in professional development, learner engagement, and professional behavior across the medical education continuum.</w:t>
            </w:r>
          </w:p>
        </w:tc>
      </w:tr>
    </w:tbl>
    <w:p w14:paraId="0268777E" w14:textId="77777777" w:rsidR="00152183" w:rsidRDefault="00152183" w:rsidP="00152183">
      <w:pPr>
        <w:rPr>
          <w:rFonts w:eastAsia="Arial" w:cs="Arial"/>
          <w:b/>
          <w:bCs/>
          <w:sz w:val="12"/>
          <w:szCs w:val="12"/>
        </w:rPr>
      </w:pPr>
      <w:r>
        <w:rPr>
          <w:rFonts w:eastAsia="Arial" w:cs="Arial"/>
          <w:b/>
          <w:bCs/>
          <w:sz w:val="12"/>
          <w:szCs w:val="12"/>
        </w:rPr>
        <w:t xml:space="preserve">References: </w:t>
      </w:r>
    </w:p>
    <w:p w14:paraId="71DBC0F1" w14:textId="0713ED6A" w:rsidR="00152183" w:rsidRDefault="00152183" w:rsidP="00152183">
      <w:pPr>
        <w:spacing w:after="0" w:line="240" w:lineRule="auto"/>
        <w:rPr>
          <w:rFonts w:eastAsia="Arial" w:cs="Arial"/>
          <w:color w:val="000000"/>
          <w:sz w:val="12"/>
          <w:szCs w:val="12"/>
        </w:rPr>
      </w:pPr>
      <w:r>
        <w:rPr>
          <w:rFonts w:eastAsia="Arial" w:cs="Arial"/>
          <w:color w:val="000000"/>
          <w:sz w:val="12"/>
          <w:szCs w:val="12"/>
        </w:rPr>
        <w:t xml:space="preserve">Ajzen, I. (1991). The theory of planned behavior. </w:t>
      </w:r>
      <w:r>
        <w:rPr>
          <w:rFonts w:eastAsia="Arial" w:cs="Arial"/>
          <w:i/>
          <w:iCs/>
          <w:color w:val="000000"/>
          <w:sz w:val="12"/>
          <w:szCs w:val="12"/>
        </w:rPr>
        <w:t>Organizational Behavior and Human Decision Processes</w:t>
      </w:r>
      <w:r>
        <w:rPr>
          <w:rFonts w:eastAsia="Arial" w:cs="Arial"/>
          <w:color w:val="000000"/>
          <w:sz w:val="12"/>
          <w:szCs w:val="12"/>
        </w:rPr>
        <w:t xml:space="preserve">, </w:t>
      </w:r>
      <w:r>
        <w:rPr>
          <w:rFonts w:eastAsia="Arial" w:cs="Arial"/>
          <w:i/>
          <w:iCs/>
          <w:color w:val="000000"/>
          <w:sz w:val="12"/>
          <w:szCs w:val="12"/>
        </w:rPr>
        <w:t>50</w:t>
      </w:r>
      <w:r>
        <w:rPr>
          <w:rFonts w:eastAsia="Arial" w:cs="Arial"/>
          <w:color w:val="000000"/>
          <w:sz w:val="12"/>
          <w:szCs w:val="12"/>
        </w:rPr>
        <w:t xml:space="preserve">(2), 179–211. </w:t>
      </w:r>
      <w:hyperlink r:id="rId9">
        <w:r>
          <w:rPr>
            <w:rFonts w:eastAsia="Arial" w:cs="Arial"/>
            <w:color w:val="000000"/>
            <w:sz w:val="12"/>
            <w:szCs w:val="12"/>
            <w:u w:val="single"/>
          </w:rPr>
          <w:t>https://doi.org/10.1016/0749-5978(91)90020-T</w:t>
        </w:r>
      </w:hyperlink>
    </w:p>
    <w:p w14:paraId="244378C8" w14:textId="2287AC23" w:rsidR="00152183" w:rsidRDefault="00152183" w:rsidP="00152183">
      <w:pPr>
        <w:spacing w:after="0" w:line="240" w:lineRule="auto"/>
        <w:rPr>
          <w:rFonts w:eastAsia="Arial" w:cs="Arial"/>
          <w:color w:val="000000"/>
          <w:sz w:val="12"/>
          <w:szCs w:val="12"/>
        </w:rPr>
      </w:pPr>
      <w:r>
        <w:rPr>
          <w:rFonts w:eastAsia="Arial" w:cs="Arial"/>
          <w:color w:val="000000"/>
          <w:sz w:val="12"/>
          <w:szCs w:val="12"/>
        </w:rPr>
        <w:t xml:space="preserve">Bandura, A. (1991). Social cognitive theory of self-regulation. </w:t>
      </w:r>
      <w:r>
        <w:rPr>
          <w:rFonts w:eastAsia="Arial" w:cs="Arial"/>
          <w:i/>
          <w:iCs/>
          <w:color w:val="000000"/>
          <w:sz w:val="12"/>
          <w:szCs w:val="12"/>
        </w:rPr>
        <w:t>Organizational Behavior and Human Decision Processes</w:t>
      </w:r>
      <w:r>
        <w:rPr>
          <w:rFonts w:eastAsia="Arial" w:cs="Arial"/>
          <w:color w:val="000000"/>
          <w:sz w:val="12"/>
          <w:szCs w:val="12"/>
        </w:rPr>
        <w:t xml:space="preserve">, </w:t>
      </w:r>
      <w:r>
        <w:rPr>
          <w:rFonts w:eastAsia="Arial" w:cs="Arial"/>
          <w:i/>
          <w:iCs/>
          <w:color w:val="000000"/>
          <w:sz w:val="12"/>
          <w:szCs w:val="12"/>
        </w:rPr>
        <w:t>50</w:t>
      </w:r>
      <w:r>
        <w:rPr>
          <w:rFonts w:eastAsia="Arial" w:cs="Arial"/>
          <w:color w:val="000000"/>
          <w:sz w:val="12"/>
          <w:szCs w:val="12"/>
        </w:rPr>
        <w:t>(2), 248–287.</w:t>
      </w:r>
    </w:p>
    <w:p w14:paraId="2351D3FF" w14:textId="49E39022" w:rsidR="00152183" w:rsidRDefault="00152183" w:rsidP="00152183">
      <w:pPr>
        <w:spacing w:after="0" w:line="240" w:lineRule="auto"/>
        <w:rPr>
          <w:rFonts w:eastAsia="Arial" w:cs="Arial"/>
          <w:color w:val="000000"/>
          <w:sz w:val="12"/>
          <w:szCs w:val="12"/>
        </w:rPr>
      </w:pPr>
      <w:r>
        <w:rPr>
          <w:rFonts w:eastAsia="Arial" w:cs="Arial"/>
          <w:color w:val="000000"/>
          <w:sz w:val="12"/>
          <w:szCs w:val="12"/>
        </w:rPr>
        <w:t xml:space="preserve">Bronfenbrenner, U. (1977). Toward an experimental ecology of human development. </w:t>
      </w:r>
      <w:r>
        <w:rPr>
          <w:rFonts w:eastAsia="Arial" w:cs="Arial"/>
          <w:i/>
          <w:iCs/>
          <w:color w:val="000000"/>
          <w:sz w:val="12"/>
          <w:szCs w:val="12"/>
        </w:rPr>
        <w:t>American Psychologist</w:t>
      </w:r>
      <w:r>
        <w:rPr>
          <w:rFonts w:eastAsia="Arial" w:cs="Arial"/>
          <w:color w:val="000000"/>
          <w:sz w:val="12"/>
          <w:szCs w:val="12"/>
        </w:rPr>
        <w:t xml:space="preserve">, </w:t>
      </w:r>
      <w:r>
        <w:rPr>
          <w:rFonts w:eastAsia="Arial" w:cs="Arial"/>
          <w:i/>
          <w:iCs/>
          <w:color w:val="000000"/>
          <w:sz w:val="12"/>
          <w:szCs w:val="12"/>
        </w:rPr>
        <w:t>32</w:t>
      </w:r>
      <w:r>
        <w:rPr>
          <w:rFonts w:eastAsia="Arial" w:cs="Arial"/>
          <w:color w:val="000000"/>
          <w:sz w:val="12"/>
          <w:szCs w:val="12"/>
        </w:rPr>
        <w:t xml:space="preserve">(7), 513–531. </w:t>
      </w:r>
      <w:hyperlink r:id="rId10">
        <w:r>
          <w:rPr>
            <w:rFonts w:eastAsia="Arial" w:cs="Arial"/>
            <w:color w:val="0000FF"/>
            <w:sz w:val="12"/>
            <w:szCs w:val="12"/>
            <w:u w:val="single"/>
          </w:rPr>
          <w:t>https://doi.org/10.1037/0003-066X.32.7.513</w:t>
        </w:r>
      </w:hyperlink>
    </w:p>
    <w:p w14:paraId="1CC1F22A" w14:textId="3A1D44E4" w:rsidR="00152183" w:rsidRPr="00152183" w:rsidRDefault="00152183" w:rsidP="00152183">
      <w:pPr>
        <w:spacing w:after="0" w:line="240" w:lineRule="auto"/>
        <w:rPr>
          <w:rFonts w:eastAsia="Arial" w:cs="Arial"/>
          <w:color w:val="000000"/>
          <w:sz w:val="12"/>
          <w:szCs w:val="12"/>
          <w:highlight w:val="white"/>
        </w:rPr>
      </w:pPr>
      <w:r>
        <w:rPr>
          <w:rFonts w:eastAsia="Arial" w:cs="Arial"/>
          <w:color w:val="000000"/>
          <w:sz w:val="12"/>
          <w:szCs w:val="12"/>
          <w:highlight w:val="white"/>
        </w:rPr>
        <w:t>Lave, J., &amp; Wenger, E. (1991). </w:t>
      </w:r>
      <w:r>
        <w:rPr>
          <w:rFonts w:eastAsia="Arial" w:cs="Arial"/>
          <w:i/>
          <w:iCs/>
          <w:color w:val="000000"/>
          <w:sz w:val="12"/>
          <w:szCs w:val="12"/>
          <w:highlight w:val="white"/>
        </w:rPr>
        <w:t>Situated learning: Legitimate peripheral participation</w:t>
      </w:r>
      <w:r>
        <w:rPr>
          <w:rFonts w:eastAsia="Arial" w:cs="Arial"/>
          <w:color w:val="000000"/>
          <w:sz w:val="12"/>
          <w:szCs w:val="12"/>
          <w:highlight w:val="white"/>
        </w:rPr>
        <w:t>. Cambridge university press.</w:t>
      </w:r>
    </w:p>
    <w:p w14:paraId="515423A7" w14:textId="320E70A1" w:rsidR="00657AD9" w:rsidRDefault="00152183" w:rsidP="00152183">
      <w:pPr>
        <w:shd w:val="clear" w:color="auto" w:fill="FFFFFF"/>
        <w:spacing w:after="0" w:line="240" w:lineRule="auto"/>
      </w:pPr>
      <w:r>
        <w:rPr>
          <w:rFonts w:eastAsia="Arial" w:cs="Arial"/>
          <w:color w:val="000000"/>
          <w:sz w:val="12"/>
          <w:szCs w:val="12"/>
        </w:rPr>
        <w:t>Sarraf</w:t>
      </w:r>
      <w:r>
        <w:rPr>
          <w:rFonts w:ascii="Cambria Math" w:eastAsia="Arial" w:hAnsi="Cambria Math" w:cs="Cambria Math"/>
          <w:color w:val="000000"/>
          <w:sz w:val="12"/>
          <w:szCs w:val="12"/>
        </w:rPr>
        <w:t>‐</w:t>
      </w:r>
      <w:r>
        <w:rPr>
          <w:rFonts w:eastAsia="Arial" w:cs="Arial"/>
          <w:color w:val="000000"/>
          <w:sz w:val="12"/>
          <w:szCs w:val="12"/>
        </w:rPr>
        <w:t xml:space="preserve">Yazdi, S., </w:t>
      </w:r>
      <w:proofErr w:type="spellStart"/>
      <w:r>
        <w:rPr>
          <w:rFonts w:eastAsia="Arial" w:cs="Arial"/>
          <w:color w:val="000000"/>
          <w:sz w:val="12"/>
          <w:szCs w:val="12"/>
        </w:rPr>
        <w:t>Pisupati</w:t>
      </w:r>
      <w:proofErr w:type="spellEnd"/>
      <w:r>
        <w:rPr>
          <w:rFonts w:eastAsia="Arial" w:cs="Arial"/>
          <w:color w:val="000000"/>
          <w:sz w:val="12"/>
          <w:szCs w:val="12"/>
        </w:rPr>
        <w:t>, A., Goh, K., Ong, T., Toh, R., Goh, S., &amp; Krishna, L. (2024). A scoping review and theory</w:t>
      </w:r>
      <w:r>
        <w:rPr>
          <w:rFonts w:ascii="Cambria Math" w:eastAsia="Arial" w:hAnsi="Cambria Math" w:cs="Cambria Math"/>
          <w:color w:val="000000"/>
          <w:sz w:val="12"/>
          <w:szCs w:val="12"/>
        </w:rPr>
        <w:t>‐</w:t>
      </w:r>
      <w:r>
        <w:rPr>
          <w:rFonts w:eastAsia="Arial" w:cs="Arial"/>
          <w:color w:val="000000"/>
          <w:sz w:val="12"/>
          <w:szCs w:val="12"/>
        </w:rPr>
        <w:t xml:space="preserve">informed conceptual model of professional identity formation in medical education. </w:t>
      </w:r>
      <w:r>
        <w:rPr>
          <w:rFonts w:eastAsia="Arial" w:cs="Arial"/>
          <w:i/>
          <w:iCs/>
          <w:color w:val="000000"/>
          <w:sz w:val="12"/>
          <w:szCs w:val="12"/>
        </w:rPr>
        <w:t>Medical Education</w:t>
      </w:r>
      <w:r>
        <w:rPr>
          <w:rFonts w:eastAsia="Arial" w:cs="Arial"/>
          <w:color w:val="000000"/>
          <w:sz w:val="12"/>
          <w:szCs w:val="12"/>
        </w:rPr>
        <w:t xml:space="preserve">, </w:t>
      </w:r>
      <w:r>
        <w:rPr>
          <w:rFonts w:eastAsia="Arial" w:cs="Arial"/>
          <w:i/>
          <w:iCs/>
          <w:color w:val="000000"/>
          <w:sz w:val="12"/>
          <w:szCs w:val="12"/>
        </w:rPr>
        <w:t>58</w:t>
      </w:r>
      <w:r>
        <w:rPr>
          <w:rFonts w:eastAsia="Arial" w:cs="Arial"/>
          <w:color w:val="000000"/>
          <w:sz w:val="12"/>
          <w:szCs w:val="12"/>
        </w:rPr>
        <w:t xml:space="preserve">(10), 1151–1165. </w:t>
      </w:r>
      <w:hyperlink r:id="rId11">
        <w:r>
          <w:rPr>
            <w:rFonts w:eastAsia="Arial" w:cs="Arial"/>
            <w:color w:val="0000FF"/>
            <w:sz w:val="12"/>
            <w:szCs w:val="12"/>
            <w:u w:val="single"/>
          </w:rPr>
          <w:t>https://doi.org/10.1111/medu.15399</w:t>
        </w:r>
      </w:hyperlink>
    </w:p>
    <w:p w14:paraId="51B8D305" w14:textId="77777777" w:rsidR="00657AD9" w:rsidRDefault="00657AD9">
      <w:pPr>
        <w:rPr>
          <w:b/>
          <w:bCs/>
        </w:rPr>
      </w:pPr>
      <w:r>
        <w:rPr>
          <w:b/>
          <w:bCs/>
        </w:rPr>
        <w:br w:type="page"/>
      </w:r>
    </w:p>
    <w:p w14:paraId="024EC5B1" w14:textId="2168EF80" w:rsidR="00152183" w:rsidRPr="00657AD9" w:rsidRDefault="00152183" w:rsidP="00657AD9">
      <w:pPr>
        <w:pStyle w:val="Heading1"/>
        <w:jc w:val="center"/>
      </w:pPr>
      <w:bookmarkStart w:id="3" w:name="_Toc220919196"/>
      <w:r>
        <w:lastRenderedPageBreak/>
        <w:t>Activity - Study Development</w:t>
      </w:r>
      <w:bookmarkEnd w:id="3"/>
    </w:p>
    <w:p w14:paraId="2302D5A5" w14:textId="77777777" w:rsidR="00152183" w:rsidRDefault="00152183" w:rsidP="00152183">
      <w:pPr>
        <w:spacing w:before="240" w:after="240" w:line="276" w:lineRule="auto"/>
        <w:jc w:val="center"/>
        <w:rPr>
          <w:b/>
          <w:bCs/>
        </w:rPr>
      </w:pPr>
      <w:r>
        <w:rPr>
          <w:b/>
          <w:bCs/>
        </w:rPr>
        <w:t>Applying Theoretical and Conceptual Frameworks</w:t>
      </w:r>
    </w:p>
    <w:p w14:paraId="3ECAD337" w14:textId="77777777" w:rsidR="00152183" w:rsidRDefault="00152183" w:rsidP="00152183">
      <w:pPr>
        <w:spacing w:before="240" w:after="240" w:line="276" w:lineRule="auto"/>
      </w:pPr>
      <w:r>
        <w:rPr>
          <w:u w:val="single"/>
        </w:rPr>
        <w:t>Question/Problem</w:t>
      </w:r>
      <w: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52183" w14:paraId="2EC166DC" w14:textId="77777777" w:rsidTr="004111B1">
        <w:tc>
          <w:tcPr>
            <w:tcW w:w="9360" w:type="dxa"/>
            <w:tcBorders>
              <w:top w:val="single" w:sz="8" w:space="0" w:color="38761D"/>
              <w:left w:val="single" w:sz="8" w:space="0" w:color="38761D"/>
              <w:bottom w:val="single" w:sz="8" w:space="0" w:color="38761D"/>
              <w:right w:val="single" w:sz="8" w:space="0" w:color="38761D"/>
            </w:tcBorders>
            <w:tcMar>
              <w:top w:w="100" w:type="dxa"/>
              <w:left w:w="100" w:type="dxa"/>
              <w:bottom w:w="100" w:type="dxa"/>
              <w:right w:w="100" w:type="dxa"/>
            </w:tcMar>
          </w:tcPr>
          <w:sdt>
            <w:sdtPr>
              <w:tag w:val="goog_rdk_0"/>
              <w:id w:val="-1587811266"/>
              <w:lock w:val="contentLocked"/>
            </w:sdtPr>
            <w:sdtEndPr/>
            <w:sdtContent>
              <w:p w14:paraId="0615BF46" w14:textId="77777777" w:rsidR="00152183" w:rsidRDefault="00152183" w:rsidP="004111B1">
                <w:pPr>
                  <w:widowControl w:val="0"/>
                  <w:pBdr>
                    <w:top w:val="nil"/>
                    <w:left w:val="nil"/>
                    <w:bottom w:val="nil"/>
                    <w:right w:val="nil"/>
                    <w:between w:val="nil"/>
                  </w:pBdr>
                  <w:spacing w:after="0" w:line="240" w:lineRule="auto"/>
                </w:pPr>
              </w:p>
              <w:p w14:paraId="0B578F30" w14:textId="77777777" w:rsidR="00152183" w:rsidRDefault="00152183" w:rsidP="004111B1">
                <w:pPr>
                  <w:widowControl w:val="0"/>
                  <w:pBdr>
                    <w:top w:val="nil"/>
                    <w:left w:val="nil"/>
                    <w:bottom w:val="nil"/>
                    <w:right w:val="nil"/>
                    <w:between w:val="nil"/>
                  </w:pBdr>
                  <w:spacing w:after="0" w:line="240" w:lineRule="auto"/>
                </w:pPr>
              </w:p>
              <w:p w14:paraId="391CE51A" w14:textId="77777777" w:rsidR="00152183" w:rsidRDefault="00152183" w:rsidP="004111B1">
                <w:pPr>
                  <w:widowControl w:val="0"/>
                  <w:pBdr>
                    <w:top w:val="nil"/>
                    <w:left w:val="nil"/>
                    <w:bottom w:val="nil"/>
                    <w:right w:val="nil"/>
                    <w:between w:val="nil"/>
                  </w:pBdr>
                  <w:spacing w:after="0" w:line="240" w:lineRule="auto"/>
                </w:pPr>
              </w:p>
              <w:p w14:paraId="248DE6EC" w14:textId="77777777" w:rsidR="00152183" w:rsidRDefault="00152183" w:rsidP="004111B1">
                <w:pPr>
                  <w:widowControl w:val="0"/>
                  <w:pBdr>
                    <w:top w:val="nil"/>
                    <w:left w:val="nil"/>
                    <w:bottom w:val="nil"/>
                    <w:right w:val="nil"/>
                    <w:between w:val="nil"/>
                  </w:pBdr>
                  <w:spacing w:after="0" w:line="240" w:lineRule="auto"/>
                </w:pPr>
              </w:p>
              <w:p w14:paraId="72E0A25B" w14:textId="77777777" w:rsidR="00152183" w:rsidRDefault="003503F0" w:rsidP="004111B1">
                <w:pPr>
                  <w:widowControl w:val="0"/>
                  <w:pBdr>
                    <w:top w:val="nil"/>
                    <w:left w:val="nil"/>
                    <w:bottom w:val="nil"/>
                    <w:right w:val="nil"/>
                    <w:between w:val="nil"/>
                  </w:pBdr>
                  <w:spacing w:after="0" w:line="240" w:lineRule="auto"/>
                </w:pPr>
              </w:p>
            </w:sdtContent>
          </w:sdt>
        </w:tc>
      </w:tr>
    </w:tbl>
    <w:p w14:paraId="4C93CBAE" w14:textId="77777777" w:rsidR="00152183" w:rsidRPr="00152183" w:rsidRDefault="00152183" w:rsidP="00152183">
      <w:pPr>
        <w:spacing w:before="240" w:after="240" w:line="276" w:lineRule="auto"/>
        <w:rPr>
          <w:sz w:val="2"/>
          <w:szCs w:val="2"/>
        </w:rPr>
      </w:pPr>
    </w:p>
    <w:tbl>
      <w:tblPr>
        <w:tblW w:w="944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020" w:firstRow="1" w:lastRow="0" w:firstColumn="0" w:lastColumn="0" w:noHBand="0" w:noVBand="0"/>
      </w:tblPr>
      <w:tblGrid>
        <w:gridCol w:w="2515"/>
        <w:gridCol w:w="6930"/>
      </w:tblGrid>
      <w:tr w:rsidR="00152183" w14:paraId="79B5FC10" w14:textId="77777777" w:rsidTr="004111B1">
        <w:tc>
          <w:tcPr>
            <w:tcW w:w="2515" w:type="dxa"/>
            <w:tcBorders>
              <w:top w:val="single" w:sz="4" w:space="0" w:color="38761D"/>
              <w:left w:val="single" w:sz="4" w:space="0" w:color="38761D"/>
              <w:bottom w:val="single" w:sz="4" w:space="0" w:color="38761D"/>
              <w:right w:val="single" w:sz="4" w:space="0" w:color="38761D"/>
            </w:tcBorders>
            <w:shd w:val="clear" w:color="auto" w:fill="38761D"/>
          </w:tcPr>
          <w:p w14:paraId="5CF9B02B" w14:textId="77777777" w:rsidR="00152183" w:rsidRDefault="00152183" w:rsidP="004111B1"/>
        </w:tc>
        <w:tc>
          <w:tcPr>
            <w:tcW w:w="6930" w:type="dxa"/>
            <w:tcBorders>
              <w:top w:val="single" w:sz="4" w:space="0" w:color="38761D"/>
              <w:left w:val="single" w:sz="4" w:space="0" w:color="38761D"/>
              <w:bottom w:val="single" w:sz="4" w:space="0" w:color="38761D"/>
              <w:right w:val="single" w:sz="4" w:space="0" w:color="38761D"/>
            </w:tcBorders>
            <w:shd w:val="clear" w:color="auto" w:fill="38761D"/>
          </w:tcPr>
          <w:p w14:paraId="71E85947" w14:textId="77777777" w:rsidR="00152183" w:rsidRDefault="00152183" w:rsidP="004111B1"/>
        </w:tc>
      </w:tr>
      <w:tr w:rsidR="00152183" w14:paraId="7758DFB0" w14:textId="77777777" w:rsidTr="004111B1">
        <w:trPr>
          <w:trHeight w:val="1457"/>
        </w:trPr>
        <w:tc>
          <w:tcPr>
            <w:tcW w:w="2515" w:type="dxa"/>
            <w:tcBorders>
              <w:top w:val="single" w:sz="4" w:space="0" w:color="38761D"/>
              <w:left w:val="single" w:sz="4" w:space="0" w:color="38761D"/>
              <w:bottom w:val="single" w:sz="4" w:space="0" w:color="38761D"/>
              <w:right w:val="single" w:sz="4" w:space="0" w:color="38761D"/>
            </w:tcBorders>
          </w:tcPr>
          <w:p w14:paraId="5593FB01" w14:textId="77777777" w:rsidR="00152183" w:rsidRDefault="00152183" w:rsidP="004111B1">
            <w:r>
              <w:t>What framework would best support this study?</w:t>
            </w:r>
          </w:p>
        </w:tc>
        <w:tc>
          <w:tcPr>
            <w:tcW w:w="6930" w:type="dxa"/>
            <w:tcBorders>
              <w:top w:val="single" w:sz="4" w:space="0" w:color="38761D"/>
              <w:left w:val="single" w:sz="4" w:space="0" w:color="38761D"/>
              <w:bottom w:val="single" w:sz="4" w:space="0" w:color="38761D"/>
              <w:right w:val="single" w:sz="4" w:space="0" w:color="38761D"/>
            </w:tcBorders>
          </w:tcPr>
          <w:p w14:paraId="291145AF" w14:textId="77777777" w:rsidR="00152183" w:rsidRDefault="00152183" w:rsidP="004111B1"/>
          <w:p w14:paraId="16AB08C4" w14:textId="77777777" w:rsidR="00152183" w:rsidRDefault="00152183" w:rsidP="004111B1"/>
          <w:p w14:paraId="365626DA" w14:textId="77777777" w:rsidR="00152183" w:rsidRDefault="00152183" w:rsidP="004111B1"/>
          <w:p w14:paraId="221D4014" w14:textId="77777777" w:rsidR="00152183" w:rsidRDefault="00152183" w:rsidP="004111B1"/>
          <w:p w14:paraId="573012A9" w14:textId="77777777" w:rsidR="00152183" w:rsidRDefault="00152183" w:rsidP="004111B1"/>
          <w:p w14:paraId="039E9F7B" w14:textId="77777777" w:rsidR="00152183" w:rsidRDefault="00152183" w:rsidP="004111B1"/>
        </w:tc>
      </w:tr>
      <w:tr w:rsidR="00152183" w14:paraId="7633523F" w14:textId="77777777" w:rsidTr="004111B1">
        <w:trPr>
          <w:trHeight w:val="1457"/>
        </w:trPr>
        <w:tc>
          <w:tcPr>
            <w:tcW w:w="2515" w:type="dxa"/>
            <w:tcBorders>
              <w:top w:val="single" w:sz="4" w:space="0" w:color="38761D"/>
              <w:left w:val="single" w:sz="4" w:space="0" w:color="38761D"/>
              <w:bottom w:val="single" w:sz="4" w:space="0" w:color="38761D"/>
              <w:right w:val="single" w:sz="4" w:space="0" w:color="38761D"/>
            </w:tcBorders>
          </w:tcPr>
          <w:p w14:paraId="278A5102" w14:textId="77777777" w:rsidR="00152183" w:rsidRDefault="00152183" w:rsidP="004111B1">
            <w:r>
              <w:t>What research question will align with the framework?</w:t>
            </w:r>
          </w:p>
        </w:tc>
        <w:tc>
          <w:tcPr>
            <w:tcW w:w="6930" w:type="dxa"/>
            <w:tcBorders>
              <w:top w:val="single" w:sz="4" w:space="0" w:color="38761D"/>
              <w:left w:val="single" w:sz="4" w:space="0" w:color="38761D"/>
              <w:bottom w:val="single" w:sz="4" w:space="0" w:color="38761D"/>
              <w:right w:val="single" w:sz="4" w:space="0" w:color="38761D"/>
            </w:tcBorders>
          </w:tcPr>
          <w:p w14:paraId="00528D20" w14:textId="77777777" w:rsidR="00152183" w:rsidRDefault="00152183" w:rsidP="004111B1"/>
          <w:p w14:paraId="79FCBE77" w14:textId="77777777" w:rsidR="00152183" w:rsidRDefault="00152183" w:rsidP="004111B1"/>
          <w:p w14:paraId="7023E420" w14:textId="77777777" w:rsidR="00152183" w:rsidRDefault="00152183" w:rsidP="004111B1"/>
          <w:p w14:paraId="0D5BF4BF" w14:textId="77777777" w:rsidR="00152183" w:rsidRDefault="00152183" w:rsidP="004111B1"/>
          <w:p w14:paraId="1BC8EF99" w14:textId="77777777" w:rsidR="00152183" w:rsidRDefault="00152183" w:rsidP="004111B1"/>
          <w:p w14:paraId="069C7A81" w14:textId="77777777" w:rsidR="00152183" w:rsidRDefault="00152183" w:rsidP="004111B1"/>
          <w:p w14:paraId="3C146A00" w14:textId="77777777" w:rsidR="00152183" w:rsidRDefault="00152183" w:rsidP="004111B1"/>
        </w:tc>
      </w:tr>
      <w:tr w:rsidR="00152183" w14:paraId="6AC97971" w14:textId="77777777" w:rsidTr="004111B1">
        <w:trPr>
          <w:trHeight w:val="2600"/>
        </w:trPr>
        <w:tc>
          <w:tcPr>
            <w:tcW w:w="2515" w:type="dxa"/>
            <w:tcBorders>
              <w:top w:val="single" w:sz="4" w:space="0" w:color="38761D"/>
              <w:left w:val="single" w:sz="4" w:space="0" w:color="38761D"/>
              <w:bottom w:val="single" w:sz="4" w:space="0" w:color="38761D"/>
              <w:right w:val="single" w:sz="4" w:space="0" w:color="38761D"/>
            </w:tcBorders>
          </w:tcPr>
          <w:p w14:paraId="29E72955" w14:textId="77777777" w:rsidR="00152183" w:rsidRDefault="00152183" w:rsidP="004111B1">
            <w:r>
              <w:t>How does the framework drive the content, methods, or interpretation of the study?</w:t>
            </w:r>
          </w:p>
        </w:tc>
        <w:tc>
          <w:tcPr>
            <w:tcW w:w="6930" w:type="dxa"/>
            <w:tcBorders>
              <w:top w:val="single" w:sz="4" w:space="0" w:color="38761D"/>
              <w:left w:val="single" w:sz="4" w:space="0" w:color="38761D"/>
              <w:bottom w:val="single" w:sz="4" w:space="0" w:color="38761D"/>
              <w:right w:val="single" w:sz="4" w:space="0" w:color="38761D"/>
            </w:tcBorders>
          </w:tcPr>
          <w:p w14:paraId="242971AE" w14:textId="77777777" w:rsidR="00152183" w:rsidRDefault="00152183" w:rsidP="004111B1"/>
          <w:p w14:paraId="64FAE4D8" w14:textId="77777777" w:rsidR="00152183" w:rsidRDefault="00152183" w:rsidP="004111B1"/>
          <w:p w14:paraId="382798E3" w14:textId="77777777" w:rsidR="00152183" w:rsidRDefault="00152183" w:rsidP="004111B1"/>
          <w:p w14:paraId="62210884" w14:textId="77777777" w:rsidR="00152183" w:rsidRDefault="00152183" w:rsidP="004111B1"/>
          <w:p w14:paraId="285097CE" w14:textId="77777777" w:rsidR="00152183" w:rsidRDefault="00152183" w:rsidP="004111B1"/>
          <w:p w14:paraId="6FE2CC6E" w14:textId="77777777" w:rsidR="00152183" w:rsidRDefault="00152183" w:rsidP="004111B1"/>
        </w:tc>
      </w:tr>
    </w:tbl>
    <w:p w14:paraId="5622FE8A" w14:textId="738BD5F1" w:rsidR="00835427" w:rsidRDefault="00835427" w:rsidP="00152183">
      <w:pPr>
        <w:shd w:val="clear" w:color="auto" w:fill="FFFFFF"/>
        <w:spacing w:after="0" w:line="240" w:lineRule="auto"/>
      </w:pPr>
    </w:p>
    <w:p w14:paraId="569B6B6C" w14:textId="77777777" w:rsidR="00835427" w:rsidRDefault="00835427">
      <w:r>
        <w:br w:type="page"/>
      </w:r>
    </w:p>
    <w:p w14:paraId="44F494B2" w14:textId="77777777" w:rsidR="00835427" w:rsidRDefault="00835427" w:rsidP="00657AD9">
      <w:pPr>
        <w:pStyle w:val="Heading1"/>
        <w:jc w:val="center"/>
      </w:pPr>
      <w:bookmarkStart w:id="4" w:name="_Toc220919197"/>
      <w:r>
        <w:lastRenderedPageBreak/>
        <w:t>Utilizing Frameworks in Health Professions Education Research</w:t>
      </w:r>
      <w:bookmarkEnd w:id="4"/>
    </w:p>
    <w:p w14:paraId="77A8CCA6" w14:textId="77777777" w:rsidR="00835427" w:rsidRDefault="00835427" w:rsidP="00835427">
      <w:pPr>
        <w:rPr>
          <w:rFonts w:eastAsia="Arial" w:cs="Arial"/>
          <w:b/>
          <w:bCs/>
        </w:rPr>
      </w:pPr>
    </w:p>
    <w:p w14:paraId="21BFFE28" w14:textId="77777777" w:rsidR="00835427" w:rsidRPr="003F1C8D" w:rsidRDefault="00835427" w:rsidP="00835427">
      <w:pPr>
        <w:jc w:val="center"/>
        <w:rPr>
          <w:rFonts w:eastAsia="Arial" w:cs="Arial"/>
          <w:b/>
          <w:bCs/>
        </w:rPr>
      </w:pPr>
      <w:r>
        <w:rPr>
          <w:rFonts w:eastAsia="Arial" w:cs="Arial"/>
          <w:b/>
          <w:bCs/>
          <w:noProof/>
        </w:rPr>
        <w:drawing>
          <wp:anchor distT="0" distB="0" distL="114300" distR="114300" simplePos="0" relativeHeight="251661312" behindDoc="0" locked="0" layoutInCell="1" allowOverlap="1" wp14:anchorId="1AECD6CA" wp14:editId="0AF8D06A">
            <wp:simplePos x="0" y="0"/>
            <wp:positionH relativeFrom="column">
              <wp:posOffset>-376990</wp:posOffset>
            </wp:positionH>
            <wp:positionV relativeFrom="paragraph">
              <wp:posOffset>213895</wp:posOffset>
            </wp:positionV>
            <wp:extent cx="433136" cy="433136"/>
            <wp:effectExtent l="0" t="0" r="0" b="0"/>
            <wp:wrapNone/>
            <wp:docPr id="1729891962" name="Graphic 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91962" name="Graphic 1729891962" descr="Question 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433136" cy="433136"/>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b/>
          <w:bCs/>
        </w:rPr>
        <w:t>How Framework Choice Shapes Research Design</w:t>
      </w:r>
    </w:p>
    <w:p w14:paraId="5D861620" w14:textId="77777777" w:rsidR="00835427" w:rsidRPr="003F1C8D" w:rsidRDefault="00835427" w:rsidP="00835427">
      <w:pPr>
        <w:pStyle w:val="ListParagraph"/>
        <w:numPr>
          <w:ilvl w:val="0"/>
          <w:numId w:val="3"/>
        </w:numPr>
        <w:spacing w:line="240" w:lineRule="auto"/>
        <w:rPr>
          <w:rFonts w:eastAsia="Arial" w:cs="Arial"/>
        </w:rPr>
      </w:pPr>
      <w:r w:rsidRPr="003F1C8D">
        <w:rPr>
          <w:rFonts w:eastAsia="Arial" w:cs="Arial"/>
        </w:rPr>
        <w:t>Defines the Research Questions</w:t>
      </w:r>
    </w:p>
    <w:p w14:paraId="7C0BC268"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Cognitive Load Theory → questions about instructional efficiency, mental effort.</w:t>
      </w:r>
    </w:p>
    <w:p w14:paraId="6A2E087D"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P</w:t>
      </w:r>
      <w:r>
        <w:rPr>
          <w:rFonts w:eastAsia="Arial" w:cs="Arial"/>
        </w:rPr>
        <w:t xml:space="preserve">rofessional </w:t>
      </w:r>
      <w:r w:rsidRPr="003F1C8D">
        <w:rPr>
          <w:rFonts w:eastAsia="Arial" w:cs="Arial"/>
        </w:rPr>
        <w:t>I</w:t>
      </w:r>
      <w:r>
        <w:rPr>
          <w:rFonts w:eastAsia="Arial" w:cs="Arial"/>
        </w:rPr>
        <w:t xml:space="preserve">dentity </w:t>
      </w:r>
      <w:r w:rsidRPr="003F1C8D">
        <w:rPr>
          <w:rFonts w:eastAsia="Arial" w:cs="Arial"/>
        </w:rPr>
        <w:t>F</w:t>
      </w:r>
      <w:r>
        <w:rPr>
          <w:rFonts w:eastAsia="Arial" w:cs="Arial"/>
        </w:rPr>
        <w:t>ormation</w:t>
      </w:r>
      <w:r w:rsidRPr="003F1C8D">
        <w:rPr>
          <w:rFonts w:eastAsia="Arial" w:cs="Arial"/>
        </w:rPr>
        <w:t xml:space="preserve"> frameworks → questions about identity, belonging, role modeling.</w:t>
      </w:r>
    </w:p>
    <w:p w14:paraId="0308953B" w14:textId="77777777" w:rsidR="00835427" w:rsidRPr="003F1C8D" w:rsidRDefault="00835427" w:rsidP="00835427">
      <w:pPr>
        <w:pStyle w:val="ListParagraph"/>
        <w:numPr>
          <w:ilvl w:val="0"/>
          <w:numId w:val="3"/>
        </w:numPr>
        <w:spacing w:line="240" w:lineRule="auto"/>
        <w:rPr>
          <w:rFonts w:eastAsia="Arial" w:cs="Arial"/>
        </w:rPr>
      </w:pPr>
      <w:r>
        <w:rPr>
          <w:rFonts w:eastAsia="Arial" w:cs="Arial"/>
          <w:noProof/>
        </w:rPr>
        <w:drawing>
          <wp:anchor distT="0" distB="0" distL="114300" distR="114300" simplePos="0" relativeHeight="251662336" behindDoc="0" locked="0" layoutInCell="1" allowOverlap="1" wp14:anchorId="06601B7F" wp14:editId="300B9853">
            <wp:simplePos x="0" y="0"/>
            <wp:positionH relativeFrom="column">
              <wp:posOffset>-408739</wp:posOffset>
            </wp:positionH>
            <wp:positionV relativeFrom="paragraph">
              <wp:posOffset>1905</wp:posOffset>
            </wp:positionV>
            <wp:extent cx="465221" cy="465221"/>
            <wp:effectExtent l="0" t="0" r="0" b="0"/>
            <wp:wrapNone/>
            <wp:docPr id="899953815" name="Graphic 2" descr="Cause And Effe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53815" name="Graphic 899953815" descr="Cause And Effect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65221" cy="465221"/>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Guides Method Selection</w:t>
      </w:r>
    </w:p>
    <w:p w14:paraId="7B51A889"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The framework implicitly suggests what types of data answer the question:</w:t>
      </w:r>
    </w:p>
    <w:p w14:paraId="06BB8124"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Constructivism → qualitative interviews, observation, case studies.</w:t>
      </w:r>
    </w:p>
    <w:p w14:paraId="625605BD"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Validity framework (Messick) → mixed methods combining psychometrics + qualitative data.</w:t>
      </w:r>
    </w:p>
    <w:p w14:paraId="1926FE53" w14:textId="77777777" w:rsidR="00835427" w:rsidRPr="003F1C8D" w:rsidRDefault="00835427" w:rsidP="00835427">
      <w:pPr>
        <w:pStyle w:val="ListParagraph"/>
        <w:numPr>
          <w:ilvl w:val="0"/>
          <w:numId w:val="3"/>
        </w:numPr>
        <w:spacing w:line="240" w:lineRule="auto"/>
        <w:rPr>
          <w:rFonts w:eastAsia="Arial" w:cs="Arial"/>
        </w:rPr>
      </w:pPr>
      <w:r>
        <w:rPr>
          <w:rFonts w:eastAsia="Arial" w:cs="Arial"/>
          <w:noProof/>
        </w:rPr>
        <w:drawing>
          <wp:anchor distT="0" distB="0" distL="114300" distR="114300" simplePos="0" relativeHeight="251663360" behindDoc="0" locked="0" layoutInCell="1" allowOverlap="1" wp14:anchorId="47DF830A" wp14:editId="64B2FD22">
            <wp:simplePos x="0" y="0"/>
            <wp:positionH relativeFrom="column">
              <wp:posOffset>-369069</wp:posOffset>
            </wp:positionH>
            <wp:positionV relativeFrom="paragraph">
              <wp:posOffset>0</wp:posOffset>
            </wp:positionV>
            <wp:extent cx="425116" cy="425116"/>
            <wp:effectExtent l="0" t="0" r="0" b="0"/>
            <wp:wrapNone/>
            <wp:docPr id="675727379" name="Graphic 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7379" name="Graphic 675727379" descr="Lightbulb and gear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425116" cy="425116"/>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Determines Variables and Outcomes</w:t>
      </w:r>
    </w:p>
    <w:p w14:paraId="07F787C1"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Selecting a framework clarifies:</w:t>
      </w:r>
    </w:p>
    <w:p w14:paraId="3E1FA32C"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What counts as an outcome (e.g., competence, identity, self-efficacy, skill).</w:t>
      </w:r>
    </w:p>
    <w:p w14:paraId="5EC3A154" w14:textId="77777777" w:rsidR="00835427" w:rsidRPr="003F1C8D" w:rsidRDefault="00835427" w:rsidP="00835427">
      <w:pPr>
        <w:pStyle w:val="ListParagraph"/>
        <w:numPr>
          <w:ilvl w:val="2"/>
          <w:numId w:val="3"/>
        </w:numPr>
        <w:spacing w:line="240" w:lineRule="auto"/>
        <w:rPr>
          <w:rFonts w:eastAsia="Arial" w:cs="Arial"/>
        </w:rPr>
      </w:pPr>
      <w:r>
        <w:rPr>
          <w:rFonts w:eastAsia="Arial" w:cs="Arial"/>
          <w:noProof/>
        </w:rPr>
        <w:drawing>
          <wp:anchor distT="0" distB="0" distL="114300" distR="114300" simplePos="0" relativeHeight="251664384" behindDoc="0" locked="0" layoutInCell="1" allowOverlap="1" wp14:anchorId="41A5EDC6" wp14:editId="159F9867">
            <wp:simplePos x="0" y="0"/>
            <wp:positionH relativeFrom="column">
              <wp:posOffset>-376989</wp:posOffset>
            </wp:positionH>
            <wp:positionV relativeFrom="paragraph">
              <wp:posOffset>329632</wp:posOffset>
            </wp:positionV>
            <wp:extent cx="497305" cy="497305"/>
            <wp:effectExtent l="0" t="0" r="0" b="0"/>
            <wp:wrapNone/>
            <wp:docPr id="937015022"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5022" name="Graphic 937015022" descr="Cycle with peopl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97305" cy="497305"/>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What mediators or mechanisms matter (e.g., autonomy support in S</w:t>
      </w:r>
      <w:r>
        <w:rPr>
          <w:rFonts w:eastAsia="Arial" w:cs="Arial"/>
        </w:rPr>
        <w:t>elf-</w:t>
      </w:r>
      <w:r w:rsidRPr="003F1C8D">
        <w:rPr>
          <w:rFonts w:eastAsia="Arial" w:cs="Arial"/>
        </w:rPr>
        <w:t>D</w:t>
      </w:r>
      <w:r>
        <w:rPr>
          <w:rFonts w:eastAsia="Arial" w:cs="Arial"/>
        </w:rPr>
        <w:t xml:space="preserve">etermination </w:t>
      </w:r>
      <w:r w:rsidRPr="003F1C8D">
        <w:rPr>
          <w:rFonts w:eastAsia="Arial" w:cs="Arial"/>
        </w:rPr>
        <w:t>T</w:t>
      </w:r>
      <w:r>
        <w:rPr>
          <w:rFonts w:eastAsia="Arial" w:cs="Arial"/>
        </w:rPr>
        <w:t>heory</w:t>
      </w:r>
      <w:r w:rsidRPr="003F1C8D">
        <w:rPr>
          <w:rFonts w:eastAsia="Arial" w:cs="Arial"/>
        </w:rPr>
        <w:t>).</w:t>
      </w:r>
    </w:p>
    <w:p w14:paraId="12110543" w14:textId="77777777" w:rsidR="00835427" w:rsidRPr="003F1C8D" w:rsidRDefault="00835427" w:rsidP="00835427">
      <w:pPr>
        <w:pStyle w:val="ListParagraph"/>
        <w:numPr>
          <w:ilvl w:val="0"/>
          <w:numId w:val="3"/>
        </w:numPr>
        <w:spacing w:line="240" w:lineRule="auto"/>
        <w:rPr>
          <w:rFonts w:eastAsia="Arial" w:cs="Arial"/>
        </w:rPr>
      </w:pPr>
      <w:r w:rsidRPr="003F1C8D">
        <w:rPr>
          <w:rFonts w:eastAsia="Arial" w:cs="Arial"/>
        </w:rPr>
        <w:t>Informs Sampling &amp; Context</w:t>
      </w:r>
    </w:p>
    <w:p w14:paraId="3203847A"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Communities of Practice → samples across experience levels (from peripheral to central).</w:t>
      </w:r>
    </w:p>
    <w:p w14:paraId="4BFE0B72"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Complexity Theory → sampling at multiple system levels (learners, faculty, structures).</w:t>
      </w:r>
    </w:p>
    <w:p w14:paraId="6C09E70F" w14:textId="77777777" w:rsidR="00835427" w:rsidRPr="003F1C8D" w:rsidRDefault="00835427" w:rsidP="00835427">
      <w:pPr>
        <w:pStyle w:val="ListParagraph"/>
        <w:numPr>
          <w:ilvl w:val="0"/>
          <w:numId w:val="3"/>
        </w:numPr>
        <w:spacing w:line="240" w:lineRule="auto"/>
        <w:rPr>
          <w:rFonts w:eastAsia="Arial" w:cs="Arial"/>
        </w:rPr>
      </w:pPr>
      <w:r>
        <w:rPr>
          <w:rFonts w:eastAsia="Arial" w:cs="Arial"/>
          <w:noProof/>
        </w:rPr>
        <w:drawing>
          <wp:anchor distT="0" distB="0" distL="114300" distR="114300" simplePos="0" relativeHeight="251666432" behindDoc="0" locked="0" layoutInCell="1" allowOverlap="1" wp14:anchorId="26A6683C" wp14:editId="58F97DD8">
            <wp:simplePos x="0" y="0"/>
            <wp:positionH relativeFrom="column">
              <wp:posOffset>-336550</wp:posOffset>
            </wp:positionH>
            <wp:positionV relativeFrom="paragraph">
              <wp:posOffset>70485</wp:posOffset>
            </wp:positionV>
            <wp:extent cx="409074" cy="409074"/>
            <wp:effectExtent l="0" t="0" r="0" b="0"/>
            <wp:wrapNone/>
            <wp:docPr id="516348960" name="Graphic 6"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48960" name="Graphic 516348960" descr="Lis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09074" cy="409074"/>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Shapes Data Collection Tools</w:t>
      </w:r>
    </w:p>
    <w:p w14:paraId="52F211B3"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P</w:t>
      </w:r>
      <w:r>
        <w:rPr>
          <w:rFonts w:eastAsia="Arial" w:cs="Arial"/>
        </w:rPr>
        <w:t xml:space="preserve">rofessional </w:t>
      </w:r>
      <w:r w:rsidRPr="003F1C8D">
        <w:rPr>
          <w:rFonts w:eastAsia="Arial" w:cs="Arial"/>
        </w:rPr>
        <w:t>I</w:t>
      </w:r>
      <w:r>
        <w:rPr>
          <w:rFonts w:eastAsia="Arial" w:cs="Arial"/>
        </w:rPr>
        <w:t xml:space="preserve">dentity </w:t>
      </w:r>
      <w:r w:rsidRPr="003F1C8D">
        <w:rPr>
          <w:rFonts w:eastAsia="Arial" w:cs="Arial"/>
        </w:rPr>
        <w:t>F</w:t>
      </w:r>
      <w:r>
        <w:rPr>
          <w:rFonts w:eastAsia="Arial" w:cs="Arial"/>
        </w:rPr>
        <w:t>ormation</w:t>
      </w:r>
      <w:r w:rsidRPr="003F1C8D">
        <w:rPr>
          <w:rFonts w:eastAsia="Arial" w:cs="Arial"/>
        </w:rPr>
        <w:t xml:space="preserve"> → narrative reflections, longitudinal interviews.</w:t>
      </w:r>
    </w:p>
    <w:p w14:paraId="2B9DE568"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Programmatic assessment → multi-modal data (ratings, narratives, workplace observations).</w:t>
      </w:r>
    </w:p>
    <w:p w14:paraId="63769767" w14:textId="77777777" w:rsidR="00835427" w:rsidRPr="003F1C8D" w:rsidRDefault="00835427" w:rsidP="00835427">
      <w:pPr>
        <w:pStyle w:val="ListParagraph"/>
        <w:numPr>
          <w:ilvl w:val="0"/>
          <w:numId w:val="3"/>
        </w:numPr>
        <w:spacing w:line="240" w:lineRule="auto"/>
        <w:rPr>
          <w:rFonts w:eastAsia="Arial" w:cs="Arial"/>
        </w:rPr>
      </w:pPr>
      <w:r>
        <w:rPr>
          <w:rFonts w:eastAsia="Arial" w:cs="Arial"/>
          <w:noProof/>
        </w:rPr>
        <w:drawing>
          <wp:anchor distT="0" distB="0" distL="114300" distR="114300" simplePos="0" relativeHeight="251665408" behindDoc="0" locked="0" layoutInCell="1" allowOverlap="1" wp14:anchorId="765D9C36" wp14:editId="003EAE2B">
            <wp:simplePos x="0" y="0"/>
            <wp:positionH relativeFrom="column">
              <wp:posOffset>-336550</wp:posOffset>
            </wp:positionH>
            <wp:positionV relativeFrom="paragraph">
              <wp:posOffset>26269</wp:posOffset>
            </wp:positionV>
            <wp:extent cx="457200" cy="457200"/>
            <wp:effectExtent l="0" t="0" r="0" b="0"/>
            <wp:wrapNone/>
            <wp:docPr id="1607028742" name="Graphic 5"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28742" name="Graphic 1607028742" descr="Folder Search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Guides Analysis</w:t>
      </w:r>
    </w:p>
    <w:p w14:paraId="579B3557"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Activity Theory → coding aligned with components (subject, tools, community).</w:t>
      </w:r>
    </w:p>
    <w:p w14:paraId="785A2C29" w14:textId="77777777" w:rsidR="00835427" w:rsidRPr="003F1C8D" w:rsidRDefault="00835427" w:rsidP="00835427">
      <w:pPr>
        <w:rPr>
          <w:rFonts w:eastAsia="Arial" w:cs="Arial"/>
        </w:rPr>
      </w:pPr>
    </w:p>
    <w:p w14:paraId="365D0DC4" w14:textId="77777777" w:rsidR="00835427" w:rsidRDefault="00835427" w:rsidP="00835427">
      <w:pPr>
        <w:rPr>
          <w:rFonts w:eastAsia="Arial" w:cs="Arial"/>
          <w:b/>
          <w:bCs/>
        </w:rPr>
      </w:pPr>
      <w:r>
        <w:rPr>
          <w:rFonts w:eastAsia="Arial" w:cs="Arial"/>
          <w:b/>
          <w:bCs/>
          <w:noProof/>
        </w:rPr>
        <mc:AlternateContent>
          <mc:Choice Requires="wps">
            <w:drawing>
              <wp:anchor distT="0" distB="0" distL="114300" distR="114300" simplePos="0" relativeHeight="251667456" behindDoc="0" locked="0" layoutInCell="1" allowOverlap="1" wp14:anchorId="7FAC6655" wp14:editId="13DECC5C">
                <wp:simplePos x="0" y="0"/>
                <wp:positionH relativeFrom="column">
                  <wp:posOffset>-112295</wp:posOffset>
                </wp:positionH>
                <wp:positionV relativeFrom="paragraph">
                  <wp:posOffset>47792</wp:posOffset>
                </wp:positionV>
                <wp:extent cx="5943600" cy="1195137"/>
                <wp:effectExtent l="0" t="0" r="0" b="0"/>
                <wp:wrapNone/>
                <wp:docPr id="1214751654" name="Rounded Rectangle 7"/>
                <wp:cNvGraphicFramePr/>
                <a:graphic xmlns:a="http://schemas.openxmlformats.org/drawingml/2006/main">
                  <a:graphicData uri="http://schemas.microsoft.com/office/word/2010/wordprocessingShape">
                    <wps:wsp>
                      <wps:cNvSpPr/>
                      <wps:spPr>
                        <a:xfrm>
                          <a:off x="0" y="0"/>
                          <a:ext cx="5943600" cy="1195137"/>
                        </a:xfrm>
                        <a:prstGeom prst="roundRect">
                          <a:avLst/>
                        </a:prstGeom>
                        <a:solidFill>
                          <a:srgbClr val="0068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DBE99" w14:textId="77777777" w:rsidR="00835427" w:rsidRPr="003F1C8D" w:rsidRDefault="00835427" w:rsidP="00835427">
                            <w:pPr>
                              <w:jc w:val="center"/>
                              <w:rPr>
                                <w:rFonts w:eastAsia="Arial" w:cs="Arial"/>
                                <w:color w:val="FFFFFF" w:themeColor="background1"/>
                                <w:sz w:val="36"/>
                                <w:szCs w:val="36"/>
                              </w:rPr>
                            </w:pPr>
                            <w:r w:rsidRPr="003F1C8D">
                              <w:rPr>
                                <w:rFonts w:eastAsia="Arial" w:cs="Arial"/>
                                <w:color w:val="FFFFFF" w:themeColor="background1"/>
                                <w:sz w:val="36"/>
                                <w:szCs w:val="36"/>
                              </w:rPr>
                              <w:t>The framework determines what counts as evidence, how you collect it, and how you interpret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C6655" id="Rounded Rectangle 7" o:spid="_x0000_s1030" style="position:absolute;margin-left:-8.85pt;margin-top:3.75pt;width:468pt;height:94.1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" fillcolor="#006845" stroked="f" strokeweight="1pt">
                <v:stroke joinstyle="miter"/>
                <v:textbox>
                  <w:txbxContent>
                    <w:p w14:paraId="032DBE99" w14:textId="77777777" w:rsidR="00835427" w:rsidRPr="003F1C8D" w:rsidRDefault="00835427" w:rsidP="00835427">
                      <w:pPr>
                        <w:jc w:val="center"/>
                        <w:rPr>
                          <w:rFonts w:eastAsia="Arial" w:cs="Arial"/>
                          <w:color w:val="FFFFFF" w:themeColor="background1"/>
                          <w:sz w:val="36"/>
                          <w:szCs w:val="36"/>
                        </w:rPr>
                      </w:pPr>
                      <w:r w:rsidRPr="003F1C8D">
                        <w:rPr>
                          <w:rFonts w:eastAsia="Arial" w:cs="Arial"/>
                          <w:color w:val="FFFFFF" w:themeColor="background1"/>
                          <w:sz w:val="36"/>
                          <w:szCs w:val="36"/>
                        </w:rPr>
                        <w:t>The framework determines what counts as evidence, how you collect it, and how you interpret it.</w:t>
                      </w:r>
                    </w:p>
                  </w:txbxContent>
                </v:textbox>
              </v:roundrect>
            </w:pict>
          </mc:Fallback>
        </mc:AlternateContent>
      </w:r>
      <w:r>
        <w:rPr>
          <w:rFonts w:eastAsia="Arial" w:cs="Arial"/>
          <w:b/>
          <w:bCs/>
        </w:rPr>
        <w:br w:type="page"/>
      </w:r>
    </w:p>
    <w:p w14:paraId="36D2FEAB" w14:textId="77777777" w:rsidR="00835427" w:rsidRDefault="00835427" w:rsidP="00835427">
      <w:pPr>
        <w:rPr>
          <w:rFonts w:eastAsia="Arial" w:cs="Arial"/>
          <w:b/>
          <w:bCs/>
        </w:rPr>
      </w:pPr>
    </w:p>
    <w:p w14:paraId="5780A61C" w14:textId="77777777" w:rsidR="00835427" w:rsidRDefault="00835427" w:rsidP="00835427">
      <w:pPr>
        <w:jc w:val="center"/>
        <w:rPr>
          <w:rFonts w:eastAsia="Arial" w:cs="Arial"/>
          <w:b/>
          <w:bCs/>
        </w:rPr>
      </w:pPr>
      <w:r w:rsidRPr="003F1C8D">
        <w:rPr>
          <w:rFonts w:eastAsia="Arial" w:cs="Arial"/>
          <w:b/>
          <w:bCs/>
        </w:rPr>
        <w:t>Strategies for Presenting Findings in Relation to the Framework</w:t>
      </w:r>
    </w:p>
    <w:p w14:paraId="7D715EA7" w14:textId="77777777" w:rsidR="00835427" w:rsidRPr="003F1C8D" w:rsidRDefault="00835427" w:rsidP="00835427">
      <w:pPr>
        <w:rPr>
          <w:rFonts w:eastAsia="Arial" w:cs="Arial"/>
          <w:b/>
          <w:bCs/>
        </w:rPr>
      </w:pPr>
      <w:r>
        <w:rPr>
          <w:rFonts w:eastAsia="Arial" w:cs="Arial"/>
          <w:noProof/>
        </w:rPr>
        <w:drawing>
          <wp:anchor distT="0" distB="0" distL="114300" distR="114300" simplePos="0" relativeHeight="251668480" behindDoc="0" locked="0" layoutInCell="1" allowOverlap="1" wp14:anchorId="6552A27D" wp14:editId="2E3070AD">
            <wp:simplePos x="0" y="0"/>
            <wp:positionH relativeFrom="column">
              <wp:posOffset>-204470</wp:posOffset>
            </wp:positionH>
            <wp:positionV relativeFrom="page">
              <wp:posOffset>1780139</wp:posOffset>
            </wp:positionV>
            <wp:extent cx="368935" cy="368935"/>
            <wp:effectExtent l="0" t="0" r="0" b="0"/>
            <wp:wrapNone/>
            <wp:docPr id="806289959" name="Graphic 8" descr="Person with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89959" name="Graphic 806289959" descr="Person with idea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8935" cy="368935"/>
                    </a:xfrm>
                    <a:prstGeom prst="rect">
                      <a:avLst/>
                    </a:prstGeom>
                  </pic:spPr>
                </pic:pic>
              </a:graphicData>
            </a:graphic>
            <wp14:sizeRelH relativeFrom="page">
              <wp14:pctWidth>0</wp14:pctWidth>
            </wp14:sizeRelH>
            <wp14:sizeRelV relativeFrom="page">
              <wp14:pctHeight>0</wp14:pctHeight>
            </wp14:sizeRelV>
          </wp:anchor>
        </w:drawing>
      </w:r>
    </w:p>
    <w:p w14:paraId="01492EBF" w14:textId="77777777" w:rsidR="00835427" w:rsidRPr="003F1C8D" w:rsidRDefault="00835427" w:rsidP="00835427">
      <w:pPr>
        <w:pStyle w:val="ListParagraph"/>
        <w:numPr>
          <w:ilvl w:val="0"/>
          <w:numId w:val="4"/>
        </w:numPr>
        <w:spacing w:line="240" w:lineRule="auto"/>
        <w:rPr>
          <w:rFonts w:eastAsia="Arial" w:cs="Arial"/>
        </w:rPr>
      </w:pPr>
      <w:r w:rsidRPr="003F1C8D">
        <w:rPr>
          <w:rFonts w:eastAsia="Arial" w:cs="Arial"/>
        </w:rPr>
        <w:t>Make the Framework Visually Explicit</w:t>
      </w:r>
    </w:p>
    <w:p w14:paraId="6F931573" w14:textId="77777777" w:rsidR="00835427" w:rsidRPr="003F1C8D" w:rsidRDefault="00835427" w:rsidP="00835427">
      <w:pPr>
        <w:pStyle w:val="ListParagraph"/>
        <w:numPr>
          <w:ilvl w:val="1"/>
          <w:numId w:val="3"/>
        </w:numPr>
        <w:tabs>
          <w:tab w:val="left" w:pos="3600"/>
        </w:tabs>
        <w:spacing w:line="240" w:lineRule="auto"/>
        <w:ind w:left="1440" w:hanging="360"/>
        <w:rPr>
          <w:rFonts w:eastAsia="Arial" w:cs="Arial"/>
        </w:rPr>
      </w:pPr>
      <w:r w:rsidRPr="003F1C8D">
        <w:rPr>
          <w:rFonts w:eastAsia="Arial" w:cs="Arial"/>
        </w:rPr>
        <w:t>Include a figure of the framework at the beginning of results or discussion.</w:t>
      </w:r>
    </w:p>
    <w:p w14:paraId="78AAC23A" w14:textId="77777777" w:rsidR="00835427" w:rsidRPr="003F1C8D" w:rsidRDefault="00835427" w:rsidP="00835427">
      <w:pPr>
        <w:pStyle w:val="ListParagraph"/>
        <w:numPr>
          <w:ilvl w:val="1"/>
          <w:numId w:val="3"/>
        </w:numPr>
        <w:tabs>
          <w:tab w:val="left" w:pos="3600"/>
        </w:tabs>
        <w:spacing w:line="240" w:lineRule="auto"/>
        <w:ind w:left="1440" w:hanging="360"/>
        <w:rPr>
          <w:rFonts w:eastAsia="Arial" w:cs="Arial"/>
        </w:rPr>
      </w:pPr>
      <w:r>
        <w:rPr>
          <w:rFonts w:eastAsia="Arial" w:cs="Arial"/>
          <w:noProof/>
        </w:rPr>
        <w:drawing>
          <wp:anchor distT="0" distB="0" distL="114300" distR="114300" simplePos="0" relativeHeight="251671552" behindDoc="0" locked="0" layoutInCell="1" allowOverlap="1" wp14:anchorId="135F5978" wp14:editId="4BF8020C">
            <wp:simplePos x="0" y="0"/>
            <wp:positionH relativeFrom="column">
              <wp:posOffset>-264695</wp:posOffset>
            </wp:positionH>
            <wp:positionV relativeFrom="paragraph">
              <wp:posOffset>205373</wp:posOffset>
            </wp:positionV>
            <wp:extent cx="393031" cy="393031"/>
            <wp:effectExtent l="0" t="0" r="0" b="0"/>
            <wp:wrapNone/>
            <wp:docPr id="15071687" name="Graphic 1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87" name="Graphic 15071687" descr="Chevron arrow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93031" cy="393031"/>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Highlight which parts of the model your study actually examined.</w:t>
      </w:r>
    </w:p>
    <w:p w14:paraId="49EA3490" w14:textId="77777777" w:rsidR="00835427" w:rsidRPr="003F1C8D" w:rsidRDefault="00835427" w:rsidP="00835427">
      <w:pPr>
        <w:pStyle w:val="ListParagraph"/>
        <w:numPr>
          <w:ilvl w:val="0"/>
          <w:numId w:val="4"/>
        </w:numPr>
        <w:spacing w:line="240" w:lineRule="auto"/>
        <w:rPr>
          <w:rFonts w:eastAsia="Arial" w:cs="Arial"/>
        </w:rPr>
      </w:pPr>
      <w:r w:rsidRPr="003F1C8D">
        <w:rPr>
          <w:rFonts w:eastAsia="Arial" w:cs="Arial"/>
        </w:rPr>
        <w:t xml:space="preserve">Align the Structure of the Results </w:t>
      </w:r>
      <w:proofErr w:type="gramStart"/>
      <w:r w:rsidRPr="003F1C8D">
        <w:rPr>
          <w:rFonts w:eastAsia="Arial" w:cs="Arial"/>
        </w:rPr>
        <w:t>With</w:t>
      </w:r>
      <w:proofErr w:type="gramEnd"/>
      <w:r w:rsidRPr="003F1C8D">
        <w:rPr>
          <w:rFonts w:eastAsia="Arial" w:cs="Arial"/>
        </w:rPr>
        <w:t xml:space="preserve"> the Framework</w:t>
      </w:r>
    </w:p>
    <w:p w14:paraId="38EF5E24" w14:textId="77777777" w:rsidR="00835427" w:rsidRPr="003F1C8D" w:rsidRDefault="00835427" w:rsidP="00835427">
      <w:pPr>
        <w:pStyle w:val="ListParagraph"/>
        <w:numPr>
          <w:ilvl w:val="1"/>
          <w:numId w:val="4"/>
        </w:numPr>
        <w:spacing w:line="240" w:lineRule="auto"/>
        <w:rPr>
          <w:rFonts w:eastAsia="Arial" w:cs="Arial"/>
        </w:rPr>
      </w:pPr>
      <w:r w:rsidRPr="003F1C8D">
        <w:rPr>
          <w:rFonts w:eastAsia="Arial" w:cs="Arial"/>
        </w:rPr>
        <w:t>For example:</w:t>
      </w:r>
    </w:p>
    <w:p w14:paraId="51FB5F26"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Messick → structure validity evidence by each evidence source.</w:t>
      </w:r>
    </w:p>
    <w:p w14:paraId="337E0701"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PIF → present themes reflecting identity formation processes (e.g., role modeling, belonging).</w:t>
      </w:r>
    </w:p>
    <w:p w14:paraId="04DF6ECF" w14:textId="77777777" w:rsidR="00835427" w:rsidRPr="003F1C8D" w:rsidRDefault="00835427" w:rsidP="00835427">
      <w:pPr>
        <w:pStyle w:val="ListParagraph"/>
        <w:numPr>
          <w:ilvl w:val="0"/>
          <w:numId w:val="4"/>
        </w:numPr>
        <w:spacing w:line="240" w:lineRule="auto"/>
        <w:rPr>
          <w:rFonts w:eastAsia="Arial" w:cs="Arial"/>
        </w:rPr>
      </w:pPr>
      <w:r>
        <w:rPr>
          <w:rFonts w:eastAsia="Arial" w:cs="Arial"/>
          <w:noProof/>
        </w:rPr>
        <w:drawing>
          <wp:anchor distT="0" distB="0" distL="114300" distR="114300" simplePos="0" relativeHeight="251669504" behindDoc="0" locked="0" layoutInCell="1" allowOverlap="1" wp14:anchorId="04735BB5" wp14:editId="5891DDF5">
            <wp:simplePos x="0" y="0"/>
            <wp:positionH relativeFrom="column">
              <wp:posOffset>-264160</wp:posOffset>
            </wp:positionH>
            <wp:positionV relativeFrom="paragraph">
              <wp:posOffset>16109</wp:posOffset>
            </wp:positionV>
            <wp:extent cx="417095" cy="417095"/>
            <wp:effectExtent l="0" t="0" r="0" b="0"/>
            <wp:wrapNone/>
            <wp:docPr id="1211123252" name="Graphic 9" descr="Pyramid with lev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23252" name="Graphic 1211123252" descr="Pyramid with level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417095" cy="417095"/>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Use the Framework’s Language in Reporting</w:t>
      </w:r>
    </w:p>
    <w:p w14:paraId="0AAAAC95" w14:textId="77777777" w:rsidR="00835427" w:rsidRPr="003F1C8D" w:rsidRDefault="00835427" w:rsidP="00835427">
      <w:pPr>
        <w:pStyle w:val="ListParagraph"/>
        <w:numPr>
          <w:ilvl w:val="1"/>
          <w:numId w:val="4"/>
        </w:numPr>
        <w:spacing w:line="240" w:lineRule="auto"/>
        <w:rPr>
          <w:rFonts w:eastAsia="Arial" w:cs="Arial"/>
        </w:rPr>
      </w:pPr>
      <w:r w:rsidRPr="003F1C8D">
        <w:rPr>
          <w:rFonts w:eastAsia="Arial" w:cs="Arial"/>
        </w:rPr>
        <w:t>Connect findings back using explicit phrases like:</w:t>
      </w:r>
    </w:p>
    <w:p w14:paraId="50AB7824"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“Consistent with Self-Determination Theory…”</w:t>
      </w:r>
    </w:p>
    <w:p w14:paraId="5D2CD6C4"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“Learners’ movement toward central participation aligns with Communities of Practice…”</w:t>
      </w:r>
    </w:p>
    <w:p w14:paraId="1C38074E" w14:textId="77777777" w:rsidR="00835427" w:rsidRPr="003F1C8D" w:rsidRDefault="00835427" w:rsidP="00835427">
      <w:pPr>
        <w:pStyle w:val="ListParagraph"/>
        <w:numPr>
          <w:ilvl w:val="0"/>
          <w:numId w:val="4"/>
        </w:numPr>
        <w:spacing w:line="240" w:lineRule="auto"/>
        <w:rPr>
          <w:rFonts w:eastAsia="Arial" w:cs="Arial"/>
        </w:rPr>
      </w:pPr>
      <w:r>
        <w:rPr>
          <w:rFonts w:eastAsia="Arial" w:cs="Arial"/>
          <w:noProof/>
        </w:rPr>
        <w:drawing>
          <wp:anchor distT="0" distB="0" distL="114300" distR="114300" simplePos="0" relativeHeight="251670528" behindDoc="0" locked="0" layoutInCell="1" allowOverlap="1" wp14:anchorId="6EFCEA79" wp14:editId="77BC286D">
            <wp:simplePos x="0" y="0"/>
            <wp:positionH relativeFrom="column">
              <wp:posOffset>-264160</wp:posOffset>
            </wp:positionH>
            <wp:positionV relativeFrom="paragraph">
              <wp:posOffset>4679</wp:posOffset>
            </wp:positionV>
            <wp:extent cx="433137" cy="433137"/>
            <wp:effectExtent l="0" t="0" r="0" b="0"/>
            <wp:wrapNone/>
            <wp:docPr id="1522015575" name="Graphic 10" descr="Hierarc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5575" name="Graphic 1522015575" descr="Hierarchy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3137" cy="433137"/>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Show How the Findings Support, Extend, or Challenge the Theory</w:t>
      </w:r>
    </w:p>
    <w:p w14:paraId="2C7CF69B" w14:textId="77777777" w:rsidR="00835427" w:rsidRPr="003F1C8D" w:rsidRDefault="00835427" w:rsidP="00835427">
      <w:pPr>
        <w:pStyle w:val="ListParagraph"/>
        <w:numPr>
          <w:ilvl w:val="1"/>
          <w:numId w:val="3"/>
        </w:numPr>
        <w:spacing w:line="240" w:lineRule="auto"/>
        <w:ind w:left="1440" w:hanging="360"/>
        <w:rPr>
          <w:rFonts w:eastAsia="Arial" w:cs="Arial"/>
        </w:rPr>
      </w:pPr>
      <w:r w:rsidRPr="003F1C8D">
        <w:rPr>
          <w:rFonts w:eastAsia="Arial" w:cs="Arial"/>
        </w:rPr>
        <w:t>Note where the data aligns with existing scholarship.</w:t>
      </w:r>
    </w:p>
    <w:p w14:paraId="510D65C9" w14:textId="77777777" w:rsidR="00835427" w:rsidRPr="003F1C8D" w:rsidRDefault="00835427" w:rsidP="00835427">
      <w:pPr>
        <w:pStyle w:val="ListParagraph"/>
        <w:numPr>
          <w:ilvl w:val="1"/>
          <w:numId w:val="3"/>
        </w:numPr>
        <w:spacing w:line="240" w:lineRule="auto"/>
        <w:ind w:left="1440" w:hanging="360"/>
        <w:rPr>
          <w:rFonts w:eastAsia="Arial" w:cs="Arial"/>
        </w:rPr>
      </w:pPr>
      <w:r>
        <w:rPr>
          <w:rFonts w:eastAsia="Arial" w:cs="Arial"/>
          <w:noProof/>
        </w:rPr>
        <w:drawing>
          <wp:anchor distT="0" distB="0" distL="114300" distR="114300" simplePos="0" relativeHeight="251672576" behindDoc="0" locked="0" layoutInCell="1" allowOverlap="1" wp14:anchorId="0867E333" wp14:editId="1483C9E9">
            <wp:simplePos x="0" y="0"/>
            <wp:positionH relativeFrom="column">
              <wp:posOffset>-216535</wp:posOffset>
            </wp:positionH>
            <wp:positionV relativeFrom="paragraph">
              <wp:posOffset>206609</wp:posOffset>
            </wp:positionV>
            <wp:extent cx="368935" cy="368935"/>
            <wp:effectExtent l="0" t="0" r="0" b="0"/>
            <wp:wrapNone/>
            <wp:docPr id="1299994557" name="Graphic 1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4557" name="Graphic 1299994557" descr="Lin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368935" cy="368935"/>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Highlight where your findings complicate or expand prior assumptions.</w:t>
      </w:r>
    </w:p>
    <w:p w14:paraId="0A06A2D2" w14:textId="77777777" w:rsidR="00835427" w:rsidRPr="003F1C8D" w:rsidRDefault="00835427" w:rsidP="00835427">
      <w:pPr>
        <w:pStyle w:val="ListParagraph"/>
        <w:numPr>
          <w:ilvl w:val="0"/>
          <w:numId w:val="4"/>
        </w:numPr>
        <w:spacing w:line="240" w:lineRule="auto"/>
        <w:rPr>
          <w:rFonts w:eastAsia="Arial" w:cs="Arial"/>
        </w:rPr>
      </w:pPr>
      <w:r w:rsidRPr="003F1C8D">
        <w:rPr>
          <w:rFonts w:eastAsia="Arial" w:cs="Arial"/>
        </w:rPr>
        <w:t>Link the Framework to Implications</w:t>
      </w:r>
    </w:p>
    <w:p w14:paraId="3BA0FAC0" w14:textId="77777777" w:rsidR="00835427" w:rsidRPr="003F1C8D" w:rsidRDefault="00835427" w:rsidP="00835427">
      <w:pPr>
        <w:pStyle w:val="ListParagraph"/>
        <w:numPr>
          <w:ilvl w:val="1"/>
          <w:numId w:val="4"/>
        </w:numPr>
        <w:spacing w:line="240" w:lineRule="auto"/>
        <w:rPr>
          <w:rFonts w:eastAsia="Arial" w:cs="Arial"/>
        </w:rPr>
      </w:pPr>
      <w:r w:rsidRPr="003F1C8D">
        <w:rPr>
          <w:rFonts w:eastAsia="Arial" w:cs="Arial"/>
        </w:rPr>
        <w:t>Use the theory to justify your recommendations:</w:t>
      </w:r>
    </w:p>
    <w:p w14:paraId="29C074E3"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“Because autonomy was a key motivator</w:t>
      </w:r>
      <w:r>
        <w:rPr>
          <w:rFonts w:eastAsia="Arial" w:cs="Arial"/>
        </w:rPr>
        <w:t xml:space="preserve">, </w:t>
      </w:r>
      <w:r w:rsidRPr="003F1C8D">
        <w:rPr>
          <w:rFonts w:eastAsia="Arial" w:cs="Arial"/>
        </w:rPr>
        <w:t>faculty development should focus on…”</w:t>
      </w:r>
    </w:p>
    <w:p w14:paraId="5750F9D6" w14:textId="77777777" w:rsidR="00835427" w:rsidRPr="003F1C8D" w:rsidRDefault="00835427" w:rsidP="00835427">
      <w:pPr>
        <w:pStyle w:val="ListParagraph"/>
        <w:numPr>
          <w:ilvl w:val="2"/>
          <w:numId w:val="3"/>
        </w:numPr>
        <w:spacing w:line="240" w:lineRule="auto"/>
        <w:rPr>
          <w:rFonts w:eastAsia="Arial" w:cs="Arial"/>
        </w:rPr>
      </w:pPr>
      <w:r w:rsidRPr="003F1C8D">
        <w:rPr>
          <w:rFonts w:eastAsia="Arial" w:cs="Arial"/>
        </w:rPr>
        <w:t xml:space="preserve">“Given the findings </w:t>
      </w:r>
      <w:r>
        <w:rPr>
          <w:rFonts w:eastAsia="Arial" w:cs="Arial"/>
        </w:rPr>
        <w:t>regarding behavioral intention,</w:t>
      </w:r>
      <w:r w:rsidRPr="003F1C8D">
        <w:rPr>
          <w:rFonts w:eastAsia="Arial" w:cs="Arial"/>
        </w:rPr>
        <w:t xml:space="preserve"> program leaders should…”</w:t>
      </w:r>
    </w:p>
    <w:p w14:paraId="588D6A9F" w14:textId="77777777" w:rsidR="00835427" w:rsidRPr="003F1C8D" w:rsidRDefault="00835427" w:rsidP="00835427">
      <w:pPr>
        <w:pStyle w:val="ListParagraph"/>
        <w:numPr>
          <w:ilvl w:val="0"/>
          <w:numId w:val="4"/>
        </w:numPr>
        <w:spacing w:line="240" w:lineRule="auto"/>
        <w:rPr>
          <w:rFonts w:eastAsia="Arial" w:cs="Arial"/>
        </w:rPr>
      </w:pPr>
      <w:r>
        <w:rPr>
          <w:rFonts w:eastAsia="Arial" w:cs="Arial"/>
          <w:noProof/>
        </w:rPr>
        <w:drawing>
          <wp:anchor distT="0" distB="0" distL="114300" distR="114300" simplePos="0" relativeHeight="251673600" behindDoc="0" locked="0" layoutInCell="1" allowOverlap="1" wp14:anchorId="1EE5B3D5" wp14:editId="6D30B117">
            <wp:simplePos x="0" y="0"/>
            <wp:positionH relativeFrom="column">
              <wp:posOffset>-232410</wp:posOffset>
            </wp:positionH>
            <wp:positionV relativeFrom="paragraph">
              <wp:posOffset>0</wp:posOffset>
            </wp:positionV>
            <wp:extent cx="400685" cy="400685"/>
            <wp:effectExtent l="0" t="0" r="5715" b="0"/>
            <wp:wrapNone/>
            <wp:docPr id="255096015" name="Graphic 1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6015" name="Graphic 255096015" descr="Chat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00685" cy="400685"/>
                    </a:xfrm>
                    <a:prstGeom prst="rect">
                      <a:avLst/>
                    </a:prstGeom>
                  </pic:spPr>
                </pic:pic>
              </a:graphicData>
            </a:graphic>
            <wp14:sizeRelH relativeFrom="page">
              <wp14:pctWidth>0</wp14:pctWidth>
            </wp14:sizeRelH>
            <wp14:sizeRelV relativeFrom="page">
              <wp14:pctHeight>0</wp14:pctHeight>
            </wp14:sizeRelV>
          </wp:anchor>
        </w:drawing>
      </w:r>
      <w:r w:rsidRPr="003F1C8D">
        <w:rPr>
          <w:rFonts w:eastAsia="Arial" w:cs="Arial"/>
        </w:rPr>
        <w:t>Make the Narrative Coherent</w:t>
      </w:r>
    </w:p>
    <w:p w14:paraId="44403479" w14:textId="77777777" w:rsidR="00835427" w:rsidRPr="003F1C8D" w:rsidRDefault="00835427" w:rsidP="00835427">
      <w:pPr>
        <w:pStyle w:val="ListParagraph"/>
        <w:numPr>
          <w:ilvl w:val="1"/>
          <w:numId w:val="4"/>
        </w:numPr>
        <w:spacing w:line="240" w:lineRule="auto"/>
        <w:rPr>
          <w:rFonts w:eastAsia="Arial" w:cs="Arial"/>
        </w:rPr>
      </w:pPr>
      <w:r w:rsidRPr="003F1C8D">
        <w:rPr>
          <w:rFonts w:eastAsia="Arial" w:cs="Arial"/>
        </w:rPr>
        <w:t>Results answer the research questions.</w:t>
      </w:r>
    </w:p>
    <w:p w14:paraId="6E29D035" w14:textId="77777777" w:rsidR="00835427" w:rsidRPr="003F1C8D" w:rsidRDefault="00835427" w:rsidP="00835427">
      <w:pPr>
        <w:pStyle w:val="ListParagraph"/>
        <w:numPr>
          <w:ilvl w:val="1"/>
          <w:numId w:val="4"/>
        </w:numPr>
        <w:spacing w:line="240" w:lineRule="auto"/>
        <w:rPr>
          <w:rFonts w:eastAsia="Arial" w:cs="Arial"/>
        </w:rPr>
      </w:pPr>
      <w:r w:rsidRPr="003F1C8D">
        <w:rPr>
          <w:rFonts w:eastAsia="Arial" w:cs="Arial"/>
        </w:rPr>
        <w:t>The discussion shows what the findings mean</w:t>
      </w:r>
      <w:r>
        <w:rPr>
          <w:rFonts w:eastAsia="Arial" w:cs="Arial"/>
        </w:rPr>
        <w:t xml:space="preserve"> while utilizing </w:t>
      </w:r>
      <w:r w:rsidRPr="003F1C8D">
        <w:rPr>
          <w:rFonts w:eastAsia="Arial" w:cs="Arial"/>
        </w:rPr>
        <w:t xml:space="preserve">the framework </w:t>
      </w:r>
      <w:r>
        <w:rPr>
          <w:rFonts w:eastAsia="Arial" w:cs="Arial"/>
        </w:rPr>
        <w:t>as the</w:t>
      </w:r>
      <w:r w:rsidRPr="003F1C8D">
        <w:rPr>
          <w:rFonts w:eastAsia="Arial" w:cs="Arial"/>
        </w:rPr>
        <w:t xml:space="preserve"> bridge between the two.</w:t>
      </w:r>
    </w:p>
    <w:p w14:paraId="552581AE" w14:textId="77777777" w:rsidR="00835427" w:rsidRDefault="00835427" w:rsidP="00835427">
      <w:pPr>
        <w:rPr>
          <w:rFonts w:eastAsia="Arial" w:cs="Arial"/>
        </w:rPr>
      </w:pPr>
    </w:p>
    <w:p w14:paraId="2E7C59C0" w14:textId="65CEE918" w:rsidR="00835427" w:rsidRDefault="00835427">
      <w:r>
        <w:br w:type="page"/>
      </w:r>
    </w:p>
    <w:p w14:paraId="53E38F44" w14:textId="77777777" w:rsidR="00835427" w:rsidRDefault="00835427" w:rsidP="00835427">
      <w:pPr>
        <w:pStyle w:val="Heading1"/>
        <w:jc w:val="center"/>
      </w:pPr>
      <w:bookmarkStart w:id="5" w:name="_Toc220919198"/>
      <w:r>
        <w:lastRenderedPageBreak/>
        <w:t>Further Reading: Theories and Frameworks</w:t>
      </w:r>
      <w:bookmarkEnd w:id="5"/>
    </w:p>
    <w:p w14:paraId="6E62A1D8" w14:textId="77777777" w:rsidR="00835427" w:rsidRPr="00835427" w:rsidRDefault="00835427" w:rsidP="00835427">
      <w:pPr>
        <w:rPr>
          <w:rFonts w:eastAsia="Arial" w:cs="Arial"/>
          <w:b/>
          <w:bCs/>
          <w:sz w:val="2"/>
          <w:szCs w:val="2"/>
        </w:rPr>
      </w:pPr>
    </w:p>
    <w:p w14:paraId="58E7D8BF" w14:textId="77777777" w:rsidR="00835427" w:rsidRDefault="00835427" w:rsidP="00835427">
      <w:pPr>
        <w:rPr>
          <w:rFonts w:eastAsia="Arial" w:cs="Arial"/>
          <w:b/>
          <w:bCs/>
        </w:rPr>
      </w:pPr>
      <w:r>
        <w:rPr>
          <w:rFonts w:eastAsia="Arial" w:cs="Arial"/>
          <w:b/>
          <w:bCs/>
        </w:rPr>
        <w:t>Theories and Frameworks in Health Professions Education:</w:t>
      </w:r>
    </w:p>
    <w:p w14:paraId="51730C33" w14:textId="77777777" w:rsidR="00835427" w:rsidRDefault="00835427" w:rsidP="00835427">
      <w:pPr>
        <w:numPr>
          <w:ilvl w:val="0"/>
          <w:numId w:val="6"/>
        </w:numPr>
        <w:spacing w:after="0" w:line="240" w:lineRule="auto"/>
        <w:rPr>
          <w:rFonts w:eastAsia="Arial" w:cs="Arial"/>
        </w:rPr>
      </w:pPr>
      <w:r>
        <w:rPr>
          <w:rFonts w:eastAsia="Arial" w:cs="Arial"/>
        </w:rPr>
        <w:t xml:space="preserve">Artino, A. R., &amp; </w:t>
      </w:r>
      <w:proofErr w:type="spellStart"/>
      <w:r>
        <w:rPr>
          <w:rFonts w:eastAsia="Arial" w:cs="Arial"/>
        </w:rPr>
        <w:t>Konopasky</w:t>
      </w:r>
      <w:proofErr w:type="spellEnd"/>
      <w:r>
        <w:rPr>
          <w:rFonts w:eastAsia="Arial" w:cs="Arial"/>
        </w:rPr>
        <w:t xml:space="preserve">, A. (2018). The Practical Value of Educational Theory for Learning and Teaching in Graduate Medical Education. </w:t>
      </w:r>
      <w:r>
        <w:rPr>
          <w:rFonts w:eastAsia="Arial" w:cs="Arial"/>
          <w:i/>
          <w:iCs/>
        </w:rPr>
        <w:t>Journal of Graduate Medical Education</w:t>
      </w:r>
      <w:r>
        <w:rPr>
          <w:rFonts w:eastAsia="Arial" w:cs="Arial"/>
        </w:rPr>
        <w:t xml:space="preserve">, </w:t>
      </w:r>
      <w:r>
        <w:rPr>
          <w:rFonts w:eastAsia="Arial" w:cs="Arial"/>
          <w:i/>
          <w:iCs/>
        </w:rPr>
        <w:t>10</w:t>
      </w:r>
      <w:r>
        <w:rPr>
          <w:rFonts w:eastAsia="Arial" w:cs="Arial"/>
        </w:rPr>
        <w:t>(6), 609–613. https://doi.org/10.4300/JGME-D-18-00825.1</w:t>
      </w:r>
    </w:p>
    <w:p w14:paraId="45A7E12F" w14:textId="77777777" w:rsidR="00835427" w:rsidRDefault="00835427" w:rsidP="00835427">
      <w:pPr>
        <w:numPr>
          <w:ilvl w:val="0"/>
          <w:numId w:val="6"/>
        </w:numPr>
        <w:spacing w:after="0" w:line="240" w:lineRule="auto"/>
        <w:rPr>
          <w:rFonts w:eastAsia="Arial" w:cs="Arial"/>
        </w:rPr>
      </w:pPr>
      <w:r>
        <w:rPr>
          <w:rFonts w:eastAsia="Arial" w:cs="Arial"/>
        </w:rPr>
        <w:t>Bolander Laksov, K., Dornan, T., &amp; Teunissen, P. W. (2017). Making theory explicit—An analysis of how medical education research(</w:t>
      </w:r>
      <w:proofErr w:type="spellStart"/>
      <w:r>
        <w:rPr>
          <w:rFonts w:eastAsia="Arial" w:cs="Arial"/>
        </w:rPr>
        <w:t>ers</w:t>
      </w:r>
      <w:proofErr w:type="spellEnd"/>
      <w:r>
        <w:rPr>
          <w:rFonts w:eastAsia="Arial" w:cs="Arial"/>
        </w:rPr>
        <w:t xml:space="preserve">) describe how they connect to theory. </w:t>
      </w:r>
      <w:r>
        <w:rPr>
          <w:rFonts w:eastAsia="Arial" w:cs="Arial"/>
          <w:i/>
          <w:iCs/>
        </w:rPr>
        <w:t>BMC Medical Education</w:t>
      </w:r>
      <w:r>
        <w:rPr>
          <w:rFonts w:eastAsia="Arial" w:cs="Arial"/>
        </w:rPr>
        <w:t xml:space="preserve">, </w:t>
      </w:r>
      <w:r>
        <w:rPr>
          <w:rFonts w:eastAsia="Arial" w:cs="Arial"/>
          <w:i/>
          <w:iCs/>
        </w:rPr>
        <w:t>17</w:t>
      </w:r>
      <w:r>
        <w:rPr>
          <w:rFonts w:eastAsia="Arial" w:cs="Arial"/>
        </w:rPr>
        <w:t>(1), 18. https://doi.org/10.1186/s12909-016-0848-1</w:t>
      </w:r>
    </w:p>
    <w:p w14:paraId="5476AE0D" w14:textId="77777777" w:rsidR="00835427" w:rsidRDefault="00835427" w:rsidP="00835427">
      <w:pPr>
        <w:numPr>
          <w:ilvl w:val="0"/>
          <w:numId w:val="6"/>
        </w:numPr>
        <w:spacing w:after="0" w:line="240" w:lineRule="auto"/>
        <w:rPr>
          <w:rFonts w:eastAsia="Arial" w:cs="Arial"/>
        </w:rPr>
      </w:pPr>
      <w:r>
        <w:rPr>
          <w:rFonts w:eastAsia="Arial" w:cs="Arial"/>
        </w:rPr>
        <w:t xml:space="preserve">Lederman, N. G., &amp; Lederman, J. S. (2015). What Is </w:t>
      </w:r>
      <w:proofErr w:type="gramStart"/>
      <w:r>
        <w:rPr>
          <w:rFonts w:eastAsia="Arial" w:cs="Arial"/>
        </w:rPr>
        <w:t>A</w:t>
      </w:r>
      <w:proofErr w:type="gramEnd"/>
      <w:r>
        <w:rPr>
          <w:rFonts w:eastAsia="Arial" w:cs="Arial"/>
        </w:rPr>
        <w:t xml:space="preserve"> Theoretical Framework? A Practical Answer. </w:t>
      </w:r>
      <w:r>
        <w:rPr>
          <w:rFonts w:eastAsia="Arial" w:cs="Arial"/>
          <w:i/>
          <w:iCs/>
        </w:rPr>
        <w:t>Journal of Science Teacher Education</w:t>
      </w:r>
      <w:r>
        <w:rPr>
          <w:rFonts w:eastAsia="Arial" w:cs="Arial"/>
        </w:rPr>
        <w:t xml:space="preserve">, </w:t>
      </w:r>
      <w:r>
        <w:rPr>
          <w:rFonts w:eastAsia="Arial" w:cs="Arial"/>
          <w:i/>
          <w:iCs/>
        </w:rPr>
        <w:t>26</w:t>
      </w:r>
      <w:r>
        <w:rPr>
          <w:rFonts w:eastAsia="Arial" w:cs="Arial"/>
        </w:rPr>
        <w:t>(7), 593–597. https://doi.org/10.1007/s10972-015-9443-2</w:t>
      </w:r>
    </w:p>
    <w:p w14:paraId="68000ABA" w14:textId="77777777" w:rsidR="00835427" w:rsidRDefault="00835427" w:rsidP="00835427">
      <w:pPr>
        <w:numPr>
          <w:ilvl w:val="0"/>
          <w:numId w:val="6"/>
        </w:numPr>
        <w:spacing w:after="0" w:line="240" w:lineRule="auto"/>
        <w:rPr>
          <w:rFonts w:eastAsia="Arial" w:cs="Arial"/>
        </w:rPr>
      </w:pPr>
      <w:r>
        <w:rPr>
          <w:rFonts w:eastAsia="Arial" w:cs="Arial"/>
        </w:rPr>
        <w:t xml:space="preserve">Mann, K. V. (2011). Theoretical perspectives in medical education: Past experience and future possibilities. </w:t>
      </w:r>
      <w:r>
        <w:rPr>
          <w:rFonts w:eastAsia="Arial" w:cs="Arial"/>
          <w:i/>
          <w:iCs/>
        </w:rPr>
        <w:t>Medical Education</w:t>
      </w:r>
      <w:r>
        <w:rPr>
          <w:rFonts w:eastAsia="Arial" w:cs="Arial"/>
        </w:rPr>
        <w:t xml:space="preserve">, </w:t>
      </w:r>
      <w:r>
        <w:rPr>
          <w:rFonts w:eastAsia="Arial" w:cs="Arial"/>
          <w:i/>
          <w:iCs/>
        </w:rPr>
        <w:t>45</w:t>
      </w:r>
      <w:r>
        <w:rPr>
          <w:rFonts w:eastAsia="Arial" w:cs="Arial"/>
        </w:rPr>
        <w:t>(1), 60–68. https://doi.org/10.1111/j.1365-2923.2010.03757.x</w:t>
      </w:r>
    </w:p>
    <w:p w14:paraId="64A871E3" w14:textId="77777777" w:rsidR="00835427" w:rsidRDefault="00835427" w:rsidP="00835427">
      <w:pPr>
        <w:numPr>
          <w:ilvl w:val="0"/>
          <w:numId w:val="6"/>
        </w:numPr>
        <w:spacing w:after="0" w:line="240" w:lineRule="auto"/>
        <w:rPr>
          <w:rFonts w:eastAsia="Arial" w:cs="Arial"/>
        </w:rPr>
      </w:pPr>
      <w:r>
        <w:rPr>
          <w:rFonts w:eastAsia="Arial" w:cs="Arial"/>
        </w:rPr>
        <w:t xml:space="preserve">Samuel, A., Konopasky, A., </w:t>
      </w:r>
      <w:proofErr w:type="spellStart"/>
      <w:r>
        <w:rPr>
          <w:rFonts w:eastAsia="Arial" w:cs="Arial"/>
        </w:rPr>
        <w:t>Schuwirth</w:t>
      </w:r>
      <w:proofErr w:type="spellEnd"/>
      <w:r>
        <w:rPr>
          <w:rFonts w:eastAsia="Arial" w:cs="Arial"/>
        </w:rPr>
        <w:t xml:space="preserve">, L. W. T., King, S. M., &amp; Durning, S. J. (2020). Five Principles for Using Educational Theory: Strategies for Advancing Health Professions Education Research. </w:t>
      </w:r>
      <w:r>
        <w:rPr>
          <w:rFonts w:eastAsia="Arial" w:cs="Arial"/>
          <w:i/>
          <w:iCs/>
        </w:rPr>
        <w:t>Academic Medicine</w:t>
      </w:r>
      <w:r>
        <w:rPr>
          <w:rFonts w:eastAsia="Arial" w:cs="Arial"/>
        </w:rPr>
        <w:t xml:space="preserve">, </w:t>
      </w:r>
      <w:r>
        <w:rPr>
          <w:rFonts w:eastAsia="Arial" w:cs="Arial"/>
          <w:i/>
          <w:iCs/>
        </w:rPr>
        <w:t>95</w:t>
      </w:r>
      <w:r>
        <w:rPr>
          <w:rFonts w:eastAsia="Arial" w:cs="Arial"/>
        </w:rPr>
        <w:t>(4), 518–522. https://doi.org/10.1097/ACM.0000000000003066</w:t>
      </w:r>
    </w:p>
    <w:p w14:paraId="2D25F605" w14:textId="77777777" w:rsidR="00835427" w:rsidRDefault="00835427" w:rsidP="00835427">
      <w:pPr>
        <w:numPr>
          <w:ilvl w:val="0"/>
          <w:numId w:val="6"/>
        </w:numPr>
        <w:spacing w:after="0" w:line="240" w:lineRule="auto"/>
        <w:rPr>
          <w:rFonts w:eastAsia="Arial" w:cs="Arial"/>
        </w:rPr>
      </w:pPr>
      <w:proofErr w:type="spellStart"/>
      <w:r>
        <w:rPr>
          <w:rFonts w:eastAsia="Arial" w:cs="Arial"/>
        </w:rPr>
        <w:t>Varpio</w:t>
      </w:r>
      <w:proofErr w:type="spellEnd"/>
      <w:r>
        <w:rPr>
          <w:rFonts w:eastAsia="Arial" w:cs="Arial"/>
        </w:rPr>
        <w:t xml:space="preserve">, L., Paradis, E., </w:t>
      </w:r>
      <w:proofErr w:type="spellStart"/>
      <w:r>
        <w:rPr>
          <w:rFonts w:eastAsia="Arial" w:cs="Arial"/>
        </w:rPr>
        <w:t>Uijtdehaage</w:t>
      </w:r>
      <w:proofErr w:type="spellEnd"/>
      <w:r>
        <w:rPr>
          <w:rFonts w:eastAsia="Arial" w:cs="Arial"/>
        </w:rPr>
        <w:t xml:space="preserve">, S., &amp; Young, M. (2020). The Distinctions Between Theory, Theoretical Framework, and Conceptual Framework. </w:t>
      </w:r>
      <w:r>
        <w:rPr>
          <w:rFonts w:eastAsia="Arial" w:cs="Arial"/>
          <w:i/>
          <w:iCs/>
        </w:rPr>
        <w:t>Academic Medicine</w:t>
      </w:r>
      <w:r>
        <w:rPr>
          <w:rFonts w:eastAsia="Arial" w:cs="Arial"/>
        </w:rPr>
        <w:t xml:space="preserve">, </w:t>
      </w:r>
      <w:r>
        <w:rPr>
          <w:rFonts w:eastAsia="Arial" w:cs="Arial"/>
          <w:i/>
          <w:iCs/>
        </w:rPr>
        <w:t>95</w:t>
      </w:r>
      <w:r>
        <w:rPr>
          <w:rFonts w:eastAsia="Arial" w:cs="Arial"/>
        </w:rPr>
        <w:t>(7), 989–994. https://doi.org/10.1097/ACM.0000000000003075</w:t>
      </w:r>
    </w:p>
    <w:p w14:paraId="245BEE84" w14:textId="77777777" w:rsidR="00835427" w:rsidRDefault="00835427" w:rsidP="00835427">
      <w:pPr>
        <w:numPr>
          <w:ilvl w:val="0"/>
          <w:numId w:val="6"/>
        </w:numPr>
        <w:spacing w:after="0" w:line="240" w:lineRule="auto"/>
        <w:rPr>
          <w:rFonts w:eastAsia="Arial" w:cs="Arial"/>
        </w:rPr>
      </w:pPr>
      <w:r>
        <w:rPr>
          <w:rFonts w:eastAsia="Arial" w:cs="Arial"/>
        </w:rPr>
        <w:t xml:space="preserve">Zackoff, M. W., Real, F. J., Abramson, E. L., Li, S.-T. T., Klein, M. D., &amp; Gusic, M. E. (2019). Enhancing Educational Scholarship Through Conceptual Frameworks: A Challenge and Roadmap for Medical Educators. </w:t>
      </w:r>
      <w:r>
        <w:rPr>
          <w:rFonts w:eastAsia="Arial" w:cs="Arial"/>
          <w:i/>
          <w:iCs/>
        </w:rPr>
        <w:t>Academic Pediatrics</w:t>
      </w:r>
      <w:r>
        <w:rPr>
          <w:rFonts w:eastAsia="Arial" w:cs="Arial"/>
        </w:rPr>
        <w:t xml:space="preserve">, </w:t>
      </w:r>
      <w:r>
        <w:rPr>
          <w:rFonts w:eastAsia="Arial" w:cs="Arial"/>
          <w:i/>
          <w:iCs/>
        </w:rPr>
        <w:t>19</w:t>
      </w:r>
      <w:r>
        <w:rPr>
          <w:rFonts w:eastAsia="Arial" w:cs="Arial"/>
        </w:rPr>
        <w:t>(2), 135–141. https://doi.org/10.1016/j.acap.2018.08.003</w:t>
      </w:r>
    </w:p>
    <w:p w14:paraId="75DA097A" w14:textId="77777777" w:rsidR="00835427" w:rsidRDefault="00835427" w:rsidP="00835427">
      <w:pPr>
        <w:rPr>
          <w:rFonts w:eastAsia="Arial" w:cs="Arial"/>
        </w:rPr>
      </w:pPr>
      <w:r>
        <w:rPr>
          <w:rFonts w:eastAsia="Arial" w:cs="Arial"/>
        </w:rPr>
        <w:t xml:space="preserve"> </w:t>
      </w:r>
    </w:p>
    <w:p w14:paraId="48AA911E" w14:textId="77777777" w:rsidR="00835427" w:rsidRDefault="00835427" w:rsidP="00835427">
      <w:pPr>
        <w:rPr>
          <w:rFonts w:eastAsia="Arial" w:cs="Arial"/>
          <w:b/>
          <w:bCs/>
        </w:rPr>
      </w:pPr>
      <w:r>
        <w:rPr>
          <w:rFonts w:eastAsia="Arial" w:cs="Arial"/>
          <w:b/>
          <w:bCs/>
        </w:rPr>
        <w:t>Professional Identity Formation:</w:t>
      </w:r>
    </w:p>
    <w:p w14:paraId="528E1938" w14:textId="77777777" w:rsidR="00835427" w:rsidRDefault="00835427" w:rsidP="00835427">
      <w:pPr>
        <w:numPr>
          <w:ilvl w:val="0"/>
          <w:numId w:val="9"/>
        </w:numPr>
        <w:spacing w:after="0" w:line="240" w:lineRule="auto"/>
        <w:rPr>
          <w:rFonts w:eastAsia="Arial" w:cs="Arial"/>
        </w:rPr>
      </w:pPr>
      <w:r>
        <w:rPr>
          <w:rFonts w:eastAsia="Arial" w:cs="Arial"/>
        </w:rPr>
        <w:t>Sarraf</w:t>
      </w:r>
      <w:r>
        <w:rPr>
          <w:rFonts w:ascii="Cambria Math" w:eastAsia="Arial" w:hAnsi="Cambria Math" w:cs="Cambria Math"/>
        </w:rPr>
        <w:t>‐</w:t>
      </w:r>
      <w:r>
        <w:rPr>
          <w:rFonts w:eastAsia="Arial" w:cs="Arial"/>
        </w:rPr>
        <w:t xml:space="preserve">Yazdi, S., </w:t>
      </w:r>
      <w:proofErr w:type="spellStart"/>
      <w:r>
        <w:rPr>
          <w:rFonts w:eastAsia="Arial" w:cs="Arial"/>
        </w:rPr>
        <w:t>Pisupati</w:t>
      </w:r>
      <w:proofErr w:type="spellEnd"/>
      <w:r>
        <w:rPr>
          <w:rFonts w:eastAsia="Arial" w:cs="Arial"/>
        </w:rPr>
        <w:t>, A., Goh, C. K., Ong, Y. T., Toh, Y. R., Goh, S. P. L., &amp; Krishna, L. K. R. (2024). A scoping review and theory</w:t>
      </w:r>
      <w:r>
        <w:rPr>
          <w:rFonts w:ascii="Cambria Math" w:eastAsia="Arial" w:hAnsi="Cambria Math" w:cs="Cambria Math"/>
        </w:rPr>
        <w:t>‐</w:t>
      </w:r>
      <w:r>
        <w:rPr>
          <w:rFonts w:eastAsia="Arial" w:cs="Arial"/>
        </w:rPr>
        <w:t xml:space="preserve">informed conceptual model of professional identity formation in medical education. </w:t>
      </w:r>
      <w:r>
        <w:rPr>
          <w:rFonts w:eastAsia="Arial" w:cs="Arial"/>
          <w:i/>
          <w:iCs/>
        </w:rPr>
        <w:t>Medical Education</w:t>
      </w:r>
      <w:r>
        <w:rPr>
          <w:rFonts w:eastAsia="Arial" w:cs="Arial"/>
        </w:rPr>
        <w:t xml:space="preserve">, </w:t>
      </w:r>
      <w:r>
        <w:rPr>
          <w:rFonts w:eastAsia="Arial" w:cs="Arial"/>
          <w:i/>
          <w:iCs/>
        </w:rPr>
        <w:t>58</w:t>
      </w:r>
      <w:r>
        <w:rPr>
          <w:rFonts w:eastAsia="Arial" w:cs="Arial"/>
        </w:rPr>
        <w:t>(10), 1151–1165. https://doi.org/10.1111/medu.15399</w:t>
      </w:r>
    </w:p>
    <w:p w14:paraId="306A53B5" w14:textId="77777777" w:rsidR="00835427" w:rsidRDefault="00835427" w:rsidP="00835427">
      <w:pPr>
        <w:numPr>
          <w:ilvl w:val="0"/>
          <w:numId w:val="9"/>
        </w:numPr>
        <w:spacing w:after="0" w:line="240" w:lineRule="auto"/>
        <w:rPr>
          <w:rFonts w:eastAsia="Arial" w:cs="Arial"/>
        </w:rPr>
      </w:pPr>
      <w:r>
        <w:rPr>
          <w:rFonts w:eastAsia="Arial" w:cs="Arial"/>
        </w:rPr>
        <w:t xml:space="preserve">Wald, H. S., Anthony, D., Hutchinson, T. A., Liben, S., </w:t>
      </w:r>
      <w:proofErr w:type="spellStart"/>
      <w:r>
        <w:rPr>
          <w:rFonts w:eastAsia="Arial" w:cs="Arial"/>
        </w:rPr>
        <w:t>Smilovitch</w:t>
      </w:r>
      <w:proofErr w:type="spellEnd"/>
      <w:r>
        <w:rPr>
          <w:rFonts w:eastAsia="Arial" w:cs="Arial"/>
        </w:rPr>
        <w:t xml:space="preserve">, M., &amp; Donato, A. A. (2015). Professional Identity Formation in Medical Education for Humanistic, Resilient Physicians: Pedagogic Strategies for Bridging Theory to Practice. </w:t>
      </w:r>
      <w:r>
        <w:rPr>
          <w:rFonts w:eastAsia="Arial" w:cs="Arial"/>
          <w:i/>
          <w:iCs/>
        </w:rPr>
        <w:t>Academic Medicine</w:t>
      </w:r>
      <w:r>
        <w:rPr>
          <w:rFonts w:eastAsia="Arial" w:cs="Arial"/>
        </w:rPr>
        <w:t xml:space="preserve">, </w:t>
      </w:r>
      <w:r>
        <w:rPr>
          <w:rFonts w:eastAsia="Arial" w:cs="Arial"/>
          <w:i/>
          <w:iCs/>
        </w:rPr>
        <w:t>90</w:t>
      </w:r>
      <w:r>
        <w:rPr>
          <w:rFonts w:eastAsia="Arial" w:cs="Arial"/>
        </w:rPr>
        <w:t>(6), 753–760. https://doi.org/10.1097/ACM.0000000000000725</w:t>
      </w:r>
    </w:p>
    <w:p w14:paraId="7A1A22D6" w14:textId="77777777" w:rsidR="00835427" w:rsidRDefault="00835427" w:rsidP="00835427">
      <w:pPr>
        <w:rPr>
          <w:rFonts w:eastAsia="Arial" w:cs="Arial"/>
          <w:b/>
          <w:bCs/>
        </w:rPr>
      </w:pPr>
      <w:r>
        <w:rPr>
          <w:rFonts w:eastAsia="Arial" w:cs="Arial"/>
          <w:b/>
          <w:bCs/>
        </w:rPr>
        <w:t xml:space="preserve"> </w:t>
      </w:r>
    </w:p>
    <w:p w14:paraId="57B77502" w14:textId="77777777" w:rsidR="00835427" w:rsidRDefault="00835427" w:rsidP="00835427">
      <w:pPr>
        <w:rPr>
          <w:rFonts w:eastAsia="Arial" w:cs="Arial"/>
          <w:b/>
          <w:bCs/>
        </w:rPr>
      </w:pPr>
      <w:r>
        <w:rPr>
          <w:rFonts w:eastAsia="Arial" w:cs="Arial"/>
          <w:b/>
          <w:bCs/>
        </w:rPr>
        <w:t>Social Cognitive Theory:</w:t>
      </w:r>
    </w:p>
    <w:p w14:paraId="3410C4F0" w14:textId="77777777" w:rsidR="00835427" w:rsidRDefault="00835427" w:rsidP="00835427">
      <w:pPr>
        <w:numPr>
          <w:ilvl w:val="0"/>
          <w:numId w:val="7"/>
        </w:numPr>
        <w:spacing w:after="0" w:line="240" w:lineRule="auto"/>
        <w:rPr>
          <w:rFonts w:eastAsia="Arial" w:cs="Arial"/>
        </w:rPr>
      </w:pPr>
      <w:r>
        <w:rPr>
          <w:rFonts w:eastAsia="Arial" w:cs="Arial"/>
        </w:rPr>
        <w:t xml:space="preserve">Bandura, A. (1977). Self-efficacy: Toward a unifying theory of behavioral change. </w:t>
      </w:r>
      <w:r>
        <w:rPr>
          <w:rFonts w:eastAsia="Arial" w:cs="Arial"/>
          <w:i/>
          <w:iCs/>
        </w:rPr>
        <w:t>Psychological Review</w:t>
      </w:r>
      <w:r>
        <w:rPr>
          <w:rFonts w:eastAsia="Arial" w:cs="Arial"/>
        </w:rPr>
        <w:t xml:space="preserve">, </w:t>
      </w:r>
      <w:r>
        <w:rPr>
          <w:rFonts w:eastAsia="Arial" w:cs="Arial"/>
          <w:i/>
          <w:iCs/>
        </w:rPr>
        <w:t>84</w:t>
      </w:r>
      <w:r>
        <w:rPr>
          <w:rFonts w:eastAsia="Arial" w:cs="Arial"/>
        </w:rPr>
        <w:t>(2), 191.</w:t>
      </w:r>
    </w:p>
    <w:p w14:paraId="026004A8" w14:textId="77777777" w:rsidR="00835427" w:rsidRDefault="00835427" w:rsidP="00835427">
      <w:pPr>
        <w:numPr>
          <w:ilvl w:val="0"/>
          <w:numId w:val="7"/>
        </w:numPr>
        <w:spacing w:after="0" w:line="240" w:lineRule="auto"/>
        <w:rPr>
          <w:rFonts w:eastAsia="Arial" w:cs="Arial"/>
        </w:rPr>
      </w:pPr>
      <w:r>
        <w:rPr>
          <w:rFonts w:eastAsia="Arial" w:cs="Arial"/>
        </w:rPr>
        <w:t xml:space="preserve">Bandura, A. (1991). Social cognitive theory of self-regulation. </w:t>
      </w:r>
      <w:r>
        <w:rPr>
          <w:rFonts w:eastAsia="Arial" w:cs="Arial"/>
          <w:i/>
          <w:iCs/>
        </w:rPr>
        <w:t>Organizational Behavior and Human Decision Processes</w:t>
      </w:r>
      <w:r>
        <w:rPr>
          <w:rFonts w:eastAsia="Arial" w:cs="Arial"/>
        </w:rPr>
        <w:t xml:space="preserve">, </w:t>
      </w:r>
      <w:r>
        <w:rPr>
          <w:rFonts w:eastAsia="Arial" w:cs="Arial"/>
          <w:i/>
          <w:iCs/>
        </w:rPr>
        <w:t>50</w:t>
      </w:r>
      <w:r>
        <w:rPr>
          <w:rFonts w:eastAsia="Arial" w:cs="Arial"/>
        </w:rPr>
        <w:t>(2), 248–287.</w:t>
      </w:r>
    </w:p>
    <w:p w14:paraId="389F4FDD" w14:textId="77777777" w:rsidR="00835427" w:rsidRDefault="00835427" w:rsidP="00835427">
      <w:pPr>
        <w:numPr>
          <w:ilvl w:val="0"/>
          <w:numId w:val="7"/>
        </w:numPr>
        <w:spacing w:after="0" w:line="240" w:lineRule="auto"/>
        <w:rPr>
          <w:rFonts w:eastAsia="Arial" w:cs="Arial"/>
        </w:rPr>
      </w:pPr>
      <w:r>
        <w:rPr>
          <w:rFonts w:eastAsia="Arial" w:cs="Arial"/>
        </w:rPr>
        <w:t xml:space="preserve">Bandura, A. (2002). Social Cognitive Theory in Cultural Context. </w:t>
      </w:r>
      <w:r>
        <w:rPr>
          <w:rFonts w:eastAsia="Arial" w:cs="Arial"/>
          <w:i/>
          <w:iCs/>
        </w:rPr>
        <w:t>Applied Psychology</w:t>
      </w:r>
      <w:r>
        <w:rPr>
          <w:rFonts w:eastAsia="Arial" w:cs="Arial"/>
        </w:rPr>
        <w:t xml:space="preserve">, </w:t>
      </w:r>
      <w:r>
        <w:rPr>
          <w:rFonts w:eastAsia="Arial" w:cs="Arial"/>
          <w:i/>
          <w:iCs/>
        </w:rPr>
        <w:t>51</w:t>
      </w:r>
      <w:r>
        <w:rPr>
          <w:rFonts w:eastAsia="Arial" w:cs="Arial"/>
        </w:rPr>
        <w:t>(2), 269–290. https://doi.org/10.1111/1464-0597.00092</w:t>
      </w:r>
    </w:p>
    <w:p w14:paraId="52C798EB" w14:textId="77777777" w:rsidR="00835427" w:rsidRDefault="00835427" w:rsidP="00835427">
      <w:pPr>
        <w:numPr>
          <w:ilvl w:val="0"/>
          <w:numId w:val="7"/>
        </w:numPr>
        <w:spacing w:after="0" w:line="240" w:lineRule="auto"/>
        <w:rPr>
          <w:rFonts w:eastAsia="Arial" w:cs="Arial"/>
        </w:rPr>
      </w:pPr>
      <w:proofErr w:type="spellStart"/>
      <w:r>
        <w:rPr>
          <w:rFonts w:eastAsia="Arial" w:cs="Arial"/>
        </w:rPr>
        <w:t>Cubukcu</w:t>
      </w:r>
      <w:proofErr w:type="spellEnd"/>
      <w:r>
        <w:rPr>
          <w:rFonts w:eastAsia="Arial" w:cs="Arial"/>
        </w:rPr>
        <w:t xml:space="preserve">, F. (2009). Metacognition in the classroom. </w:t>
      </w:r>
      <w:r>
        <w:rPr>
          <w:rFonts w:eastAsia="Arial" w:cs="Arial"/>
          <w:i/>
          <w:iCs/>
        </w:rPr>
        <w:t>Procedia - Social and Behavioral Sciences</w:t>
      </w:r>
      <w:r>
        <w:rPr>
          <w:rFonts w:eastAsia="Arial" w:cs="Arial"/>
        </w:rPr>
        <w:t xml:space="preserve">, </w:t>
      </w:r>
      <w:r>
        <w:rPr>
          <w:rFonts w:eastAsia="Arial" w:cs="Arial"/>
          <w:i/>
          <w:iCs/>
        </w:rPr>
        <w:t>1</w:t>
      </w:r>
      <w:r>
        <w:rPr>
          <w:rFonts w:eastAsia="Arial" w:cs="Arial"/>
        </w:rPr>
        <w:t>(1), 559–563. https://doi.org/10.1016/j.sbspro.2009.01.101</w:t>
      </w:r>
    </w:p>
    <w:p w14:paraId="2908A368" w14:textId="7CB87319" w:rsidR="00835427" w:rsidRPr="00835427" w:rsidRDefault="00835427" w:rsidP="00835427">
      <w:pPr>
        <w:rPr>
          <w:rFonts w:eastAsia="Arial" w:cs="Arial"/>
        </w:rPr>
      </w:pPr>
      <w:r>
        <w:rPr>
          <w:rFonts w:eastAsia="Arial" w:cs="Arial"/>
        </w:rPr>
        <w:t xml:space="preserve"> </w:t>
      </w:r>
    </w:p>
    <w:p w14:paraId="4B71A5A5" w14:textId="77777777" w:rsidR="00835427" w:rsidRDefault="00835427" w:rsidP="00835427">
      <w:pPr>
        <w:rPr>
          <w:rFonts w:eastAsia="Arial" w:cs="Arial"/>
          <w:b/>
          <w:bCs/>
        </w:rPr>
      </w:pPr>
      <w:r>
        <w:rPr>
          <w:rFonts w:eastAsia="Arial" w:cs="Arial"/>
          <w:b/>
          <w:bCs/>
        </w:rPr>
        <w:lastRenderedPageBreak/>
        <w:t>Social Ecological Model:</w:t>
      </w:r>
    </w:p>
    <w:p w14:paraId="61EC951D" w14:textId="77777777" w:rsidR="00835427" w:rsidRDefault="00835427" w:rsidP="00835427">
      <w:pPr>
        <w:numPr>
          <w:ilvl w:val="0"/>
          <w:numId w:val="5"/>
        </w:numPr>
        <w:spacing w:after="0" w:line="240" w:lineRule="auto"/>
        <w:rPr>
          <w:rFonts w:eastAsia="Arial" w:cs="Arial"/>
        </w:rPr>
      </w:pPr>
      <w:r>
        <w:rPr>
          <w:rFonts w:eastAsia="Arial" w:cs="Arial"/>
        </w:rPr>
        <w:t xml:space="preserve">Bronfenbrenner, U. (1977). Toward an experimental ecology of human development. </w:t>
      </w:r>
      <w:r>
        <w:rPr>
          <w:rFonts w:eastAsia="Arial" w:cs="Arial"/>
          <w:i/>
          <w:iCs/>
        </w:rPr>
        <w:t>American Psychologist, 32</w:t>
      </w:r>
      <w:r>
        <w:rPr>
          <w:rFonts w:eastAsia="Arial" w:cs="Arial"/>
        </w:rPr>
        <w:t>(7), 513–531.</w:t>
      </w:r>
    </w:p>
    <w:p w14:paraId="4C216222" w14:textId="77777777" w:rsidR="00835427" w:rsidRDefault="00835427" w:rsidP="00835427">
      <w:pPr>
        <w:numPr>
          <w:ilvl w:val="0"/>
          <w:numId w:val="5"/>
        </w:numPr>
        <w:spacing w:after="0" w:line="240" w:lineRule="auto"/>
        <w:rPr>
          <w:rFonts w:eastAsia="Arial" w:cs="Arial"/>
        </w:rPr>
      </w:pPr>
      <w:r>
        <w:rPr>
          <w:rFonts w:eastAsia="Arial" w:cs="Arial"/>
        </w:rPr>
        <w:t xml:space="preserve">Golden SD, Earp JAL. Social Ecological Approaches to Individuals and Their Contexts: Twenty Years of </w:t>
      </w:r>
      <w:r>
        <w:rPr>
          <w:rFonts w:eastAsia="Arial" w:cs="Arial"/>
          <w:i/>
          <w:iCs/>
        </w:rPr>
        <w:t>Health Education &amp; Behavior</w:t>
      </w:r>
      <w:r>
        <w:rPr>
          <w:rFonts w:eastAsia="Arial" w:cs="Arial"/>
        </w:rPr>
        <w:t xml:space="preserve"> Health Promotion Interventions. </w:t>
      </w:r>
      <w:r>
        <w:rPr>
          <w:rFonts w:eastAsia="Arial" w:cs="Arial"/>
          <w:i/>
          <w:iCs/>
        </w:rPr>
        <w:t xml:space="preserve">Health Educ </w:t>
      </w:r>
      <w:proofErr w:type="spellStart"/>
      <w:r>
        <w:rPr>
          <w:rFonts w:eastAsia="Arial" w:cs="Arial"/>
          <w:i/>
          <w:iCs/>
        </w:rPr>
        <w:t>Behav</w:t>
      </w:r>
      <w:proofErr w:type="spellEnd"/>
      <w:r>
        <w:rPr>
          <w:rFonts w:eastAsia="Arial" w:cs="Arial"/>
        </w:rPr>
        <w:t>. 2012;39(3):364-372.</w:t>
      </w:r>
    </w:p>
    <w:p w14:paraId="37BEA212" w14:textId="77777777" w:rsidR="00835427" w:rsidRDefault="00835427" w:rsidP="00835427">
      <w:pPr>
        <w:numPr>
          <w:ilvl w:val="0"/>
          <w:numId w:val="5"/>
        </w:numPr>
        <w:spacing w:after="0" w:line="240" w:lineRule="auto"/>
        <w:rPr>
          <w:rFonts w:eastAsia="Arial" w:cs="Arial"/>
        </w:rPr>
      </w:pPr>
      <w:r>
        <w:rPr>
          <w:rFonts w:eastAsia="Arial" w:cs="Arial"/>
        </w:rPr>
        <w:t xml:space="preserve">McLeroy KR, Bibeau D, Steckler A, Glanz K. An Ecological Perspective on Health Promotion Programs. </w:t>
      </w:r>
      <w:r>
        <w:rPr>
          <w:rFonts w:eastAsia="Arial" w:cs="Arial"/>
          <w:i/>
          <w:iCs/>
        </w:rPr>
        <w:t>Health Educ Q</w:t>
      </w:r>
      <w:r>
        <w:rPr>
          <w:rFonts w:eastAsia="Arial" w:cs="Arial"/>
        </w:rPr>
        <w:t>. 1988;15(4):351-377.</w:t>
      </w:r>
    </w:p>
    <w:p w14:paraId="275C5FB6" w14:textId="77777777" w:rsidR="00835427" w:rsidRDefault="00835427" w:rsidP="00835427">
      <w:pPr>
        <w:rPr>
          <w:rFonts w:eastAsia="Arial" w:cs="Arial"/>
          <w:b/>
          <w:bCs/>
        </w:rPr>
      </w:pPr>
      <w:r>
        <w:rPr>
          <w:rFonts w:eastAsia="Arial" w:cs="Arial"/>
          <w:b/>
          <w:bCs/>
        </w:rPr>
        <w:t xml:space="preserve"> </w:t>
      </w:r>
    </w:p>
    <w:p w14:paraId="1DD0946C" w14:textId="77777777" w:rsidR="00835427" w:rsidRDefault="00835427" w:rsidP="00835427">
      <w:pPr>
        <w:rPr>
          <w:rFonts w:eastAsia="Arial" w:cs="Arial"/>
          <w:b/>
          <w:bCs/>
        </w:rPr>
      </w:pPr>
      <w:r>
        <w:rPr>
          <w:rFonts w:eastAsia="Arial" w:cs="Arial"/>
          <w:b/>
          <w:bCs/>
        </w:rPr>
        <w:t>Theory of Planned Behavior:</w:t>
      </w:r>
    </w:p>
    <w:p w14:paraId="65DABBC3" w14:textId="77777777" w:rsidR="00835427" w:rsidRDefault="00835427" w:rsidP="00835427">
      <w:pPr>
        <w:numPr>
          <w:ilvl w:val="0"/>
          <w:numId w:val="8"/>
        </w:numPr>
        <w:spacing w:after="0" w:line="240" w:lineRule="auto"/>
        <w:rPr>
          <w:rFonts w:eastAsia="Arial" w:cs="Arial"/>
        </w:rPr>
      </w:pPr>
      <w:r>
        <w:rPr>
          <w:rFonts w:eastAsia="Arial" w:cs="Arial"/>
        </w:rPr>
        <w:t xml:space="preserve">Ajzen, I. (1991). The theory of planned behavior. </w:t>
      </w:r>
      <w:r>
        <w:rPr>
          <w:rFonts w:eastAsia="Arial" w:cs="Arial"/>
          <w:i/>
          <w:iCs/>
        </w:rPr>
        <w:t>Organizational Behavior and Human Decision Processes</w:t>
      </w:r>
      <w:r>
        <w:rPr>
          <w:rFonts w:eastAsia="Arial" w:cs="Arial"/>
        </w:rPr>
        <w:t xml:space="preserve">, </w:t>
      </w:r>
      <w:r>
        <w:rPr>
          <w:rFonts w:eastAsia="Arial" w:cs="Arial"/>
          <w:i/>
          <w:iCs/>
        </w:rPr>
        <w:t>50</w:t>
      </w:r>
      <w:r>
        <w:rPr>
          <w:rFonts w:eastAsia="Arial" w:cs="Arial"/>
        </w:rPr>
        <w:t>(2), 179–211. https://doi.org/10.1016/0749-5978(91)90020-T</w:t>
      </w:r>
    </w:p>
    <w:p w14:paraId="13622174" w14:textId="77777777" w:rsidR="00835427" w:rsidRDefault="00835427" w:rsidP="00835427">
      <w:pPr>
        <w:numPr>
          <w:ilvl w:val="0"/>
          <w:numId w:val="8"/>
        </w:numPr>
        <w:spacing w:after="0" w:line="240" w:lineRule="auto"/>
        <w:rPr>
          <w:rFonts w:eastAsia="Arial" w:cs="Arial"/>
        </w:rPr>
      </w:pPr>
      <w:r>
        <w:rPr>
          <w:rFonts w:eastAsia="Arial" w:cs="Arial"/>
        </w:rPr>
        <w:t xml:space="preserve">Ajzen, I. (2006). </w:t>
      </w:r>
      <w:r>
        <w:rPr>
          <w:rFonts w:eastAsia="Arial" w:cs="Arial"/>
          <w:i/>
          <w:iCs/>
        </w:rPr>
        <w:t>Behavioral interventions based on the theory of planned behavior</w:t>
      </w:r>
      <w:r>
        <w:rPr>
          <w:rFonts w:eastAsia="Arial" w:cs="Arial"/>
        </w:rPr>
        <w:t>. http://people.umass.edu/aizen/pdf/tpb.intervention.pdf</w:t>
      </w:r>
    </w:p>
    <w:p w14:paraId="36AA0B0D" w14:textId="77777777" w:rsidR="00835427" w:rsidRDefault="00835427" w:rsidP="00835427">
      <w:pPr>
        <w:numPr>
          <w:ilvl w:val="0"/>
          <w:numId w:val="8"/>
        </w:numPr>
        <w:spacing w:after="0" w:line="240" w:lineRule="auto"/>
        <w:rPr>
          <w:rFonts w:eastAsia="Arial" w:cs="Arial"/>
        </w:rPr>
      </w:pPr>
      <w:r>
        <w:rPr>
          <w:rFonts w:eastAsia="Arial" w:cs="Arial"/>
        </w:rPr>
        <w:t xml:space="preserve">Ajzen, I. (2011). Constructing a theory of planned behavior questionnaire. </w:t>
      </w:r>
      <w:r>
        <w:rPr>
          <w:rFonts w:eastAsia="Arial" w:cs="Arial"/>
          <w:i/>
          <w:iCs/>
        </w:rPr>
        <w:t>Unpublished Manuscript. Retrieved</w:t>
      </w:r>
      <w:r>
        <w:rPr>
          <w:rFonts w:eastAsia="Arial" w:cs="Arial"/>
        </w:rPr>
        <w:t xml:space="preserve">, </w:t>
      </w:r>
      <w:r>
        <w:rPr>
          <w:rFonts w:eastAsia="Arial" w:cs="Arial"/>
          <w:i/>
          <w:iCs/>
        </w:rPr>
        <w:t>1</w:t>
      </w:r>
      <w:r>
        <w:rPr>
          <w:rFonts w:eastAsia="Arial" w:cs="Arial"/>
        </w:rPr>
        <w:t>. http://people.umass.edu/~aizen/pdf/tpb.measurement.pdf</w:t>
      </w:r>
    </w:p>
    <w:p w14:paraId="3476B622" w14:textId="77777777" w:rsidR="00835427" w:rsidRDefault="00835427" w:rsidP="00835427">
      <w:pPr>
        <w:numPr>
          <w:ilvl w:val="0"/>
          <w:numId w:val="8"/>
        </w:numPr>
        <w:spacing w:after="0" w:line="240" w:lineRule="auto"/>
        <w:rPr>
          <w:rFonts w:eastAsia="Arial" w:cs="Arial"/>
        </w:rPr>
      </w:pPr>
      <w:r>
        <w:rPr>
          <w:rFonts w:eastAsia="Arial" w:cs="Arial"/>
        </w:rPr>
        <w:t xml:space="preserve">Armitage, C. J., &amp; Conner, M. (2001). Efficacy of the theory of planned </w:t>
      </w:r>
      <w:proofErr w:type="spellStart"/>
      <w:r>
        <w:rPr>
          <w:rFonts w:eastAsia="Arial" w:cs="Arial"/>
        </w:rPr>
        <w:t>behaviour</w:t>
      </w:r>
      <w:proofErr w:type="spellEnd"/>
      <w:r>
        <w:rPr>
          <w:rFonts w:eastAsia="Arial" w:cs="Arial"/>
        </w:rPr>
        <w:t xml:space="preserve">: A meta-analytic review. </w:t>
      </w:r>
      <w:r>
        <w:rPr>
          <w:rFonts w:eastAsia="Arial" w:cs="Arial"/>
          <w:i/>
          <w:iCs/>
        </w:rPr>
        <w:t>British Journal of Social Psychology</w:t>
      </w:r>
      <w:r>
        <w:rPr>
          <w:rFonts w:eastAsia="Arial" w:cs="Arial"/>
        </w:rPr>
        <w:t xml:space="preserve">, </w:t>
      </w:r>
      <w:r>
        <w:rPr>
          <w:rFonts w:eastAsia="Arial" w:cs="Arial"/>
          <w:i/>
          <w:iCs/>
        </w:rPr>
        <w:t>40</w:t>
      </w:r>
      <w:r>
        <w:rPr>
          <w:rFonts w:eastAsia="Arial" w:cs="Arial"/>
        </w:rPr>
        <w:t>(4), 471–499.</w:t>
      </w:r>
    </w:p>
    <w:p w14:paraId="493609F9" w14:textId="77777777" w:rsidR="00835427" w:rsidRDefault="00835427" w:rsidP="00835427">
      <w:pPr>
        <w:numPr>
          <w:ilvl w:val="0"/>
          <w:numId w:val="8"/>
        </w:numPr>
        <w:spacing w:after="0" w:line="240" w:lineRule="auto"/>
        <w:rPr>
          <w:rFonts w:eastAsia="Arial" w:cs="Arial"/>
        </w:rPr>
      </w:pPr>
      <w:r>
        <w:rPr>
          <w:rFonts w:eastAsia="Arial" w:cs="Arial"/>
        </w:rPr>
        <w:t xml:space="preserve">Beck, L., &amp; Ajzen, I. (1991). Predicting dishonest actions using the theory of planned behavior. </w:t>
      </w:r>
      <w:r>
        <w:rPr>
          <w:rFonts w:eastAsia="Arial" w:cs="Arial"/>
          <w:i/>
          <w:iCs/>
        </w:rPr>
        <w:t>Journal of Research in Personality</w:t>
      </w:r>
      <w:r>
        <w:rPr>
          <w:rFonts w:eastAsia="Arial" w:cs="Arial"/>
        </w:rPr>
        <w:t xml:space="preserve">, </w:t>
      </w:r>
      <w:r>
        <w:rPr>
          <w:rFonts w:eastAsia="Arial" w:cs="Arial"/>
          <w:i/>
          <w:iCs/>
        </w:rPr>
        <w:t>25</w:t>
      </w:r>
      <w:r>
        <w:rPr>
          <w:rFonts w:eastAsia="Arial" w:cs="Arial"/>
        </w:rPr>
        <w:t>(3), 285–301.</w:t>
      </w:r>
    </w:p>
    <w:p w14:paraId="39296435" w14:textId="77777777" w:rsidR="00835427" w:rsidRDefault="00835427" w:rsidP="00835427">
      <w:pPr>
        <w:numPr>
          <w:ilvl w:val="0"/>
          <w:numId w:val="8"/>
        </w:numPr>
        <w:spacing w:after="0" w:line="240" w:lineRule="auto"/>
        <w:rPr>
          <w:rFonts w:eastAsia="Arial" w:cs="Arial"/>
        </w:rPr>
      </w:pPr>
      <w:r>
        <w:rPr>
          <w:rFonts w:eastAsia="Arial" w:cs="Arial"/>
        </w:rPr>
        <w:t xml:space="preserve">Ma, B., Li, Z., Sun, S., &amp; Teo, C.-C. (2025). Behavioral characterization of critical thinking in higher education: Perspectives from the theory of planned behavior. </w:t>
      </w:r>
      <w:r>
        <w:rPr>
          <w:rFonts w:eastAsia="Arial" w:cs="Arial"/>
          <w:i/>
          <w:iCs/>
        </w:rPr>
        <w:t>Higher Education</w:t>
      </w:r>
      <w:r>
        <w:rPr>
          <w:rFonts w:eastAsia="Arial" w:cs="Arial"/>
        </w:rPr>
        <w:t xml:space="preserve">, </w:t>
      </w:r>
      <w:r>
        <w:rPr>
          <w:rFonts w:eastAsia="Arial" w:cs="Arial"/>
          <w:i/>
          <w:iCs/>
        </w:rPr>
        <w:t>90</w:t>
      </w:r>
      <w:r>
        <w:rPr>
          <w:rFonts w:eastAsia="Arial" w:cs="Arial"/>
        </w:rPr>
        <w:t>(3), 739–759. https://doi.org/10.1007/s10734-024-01348-1</w:t>
      </w:r>
    </w:p>
    <w:p w14:paraId="03F61B6D" w14:textId="77777777" w:rsidR="00835427" w:rsidRDefault="00835427" w:rsidP="00835427">
      <w:pPr>
        <w:numPr>
          <w:ilvl w:val="0"/>
          <w:numId w:val="8"/>
        </w:numPr>
        <w:spacing w:after="0" w:line="240" w:lineRule="auto"/>
        <w:rPr>
          <w:rFonts w:eastAsia="Arial" w:cs="Arial"/>
        </w:rPr>
      </w:pPr>
      <w:r>
        <w:rPr>
          <w:rFonts w:eastAsia="Arial" w:cs="Arial"/>
        </w:rPr>
        <w:t xml:space="preserve">Skoglund, E., Fernandez, J., Sherer, J. T., Coyle, E. A., Garey, K. W., Fleming, M. L., &amp; </w:t>
      </w:r>
      <w:proofErr w:type="spellStart"/>
      <w:r>
        <w:rPr>
          <w:rFonts w:eastAsia="Arial" w:cs="Arial"/>
        </w:rPr>
        <w:t>Sofjan</w:t>
      </w:r>
      <w:proofErr w:type="spellEnd"/>
      <w:r>
        <w:rPr>
          <w:rFonts w:eastAsia="Arial" w:cs="Arial"/>
        </w:rPr>
        <w:t xml:space="preserve">, A. K. (2020). Using the Theory of Planned Behavior to Evaluate Factors That Influence PharmD Students’ Intention to Attend Lectures. </w:t>
      </w:r>
      <w:r>
        <w:rPr>
          <w:rFonts w:eastAsia="Arial" w:cs="Arial"/>
          <w:i/>
          <w:iCs/>
        </w:rPr>
        <w:t>American Journal of Pharmaceutical Education</w:t>
      </w:r>
      <w:r>
        <w:rPr>
          <w:rFonts w:eastAsia="Arial" w:cs="Arial"/>
        </w:rPr>
        <w:t xml:space="preserve">, </w:t>
      </w:r>
      <w:r>
        <w:rPr>
          <w:rFonts w:eastAsia="Arial" w:cs="Arial"/>
          <w:i/>
          <w:iCs/>
        </w:rPr>
        <w:t>84</w:t>
      </w:r>
      <w:r>
        <w:rPr>
          <w:rFonts w:eastAsia="Arial" w:cs="Arial"/>
        </w:rPr>
        <w:t>(5), 7550. https://doi.org/10.5688/ajpe7550</w:t>
      </w:r>
    </w:p>
    <w:p w14:paraId="4DD125CB" w14:textId="77777777" w:rsidR="00152183" w:rsidRDefault="00152183" w:rsidP="00152183">
      <w:pPr>
        <w:shd w:val="clear" w:color="auto" w:fill="FFFFFF"/>
        <w:spacing w:after="0" w:line="240" w:lineRule="auto"/>
      </w:pPr>
    </w:p>
    <w:sectPr w:rsidR="00152183" w:rsidSect="00657AD9">
      <w:headerReference w:type="default" r:id="rId36"/>
      <w:footerReference w:type="even" r:id="rId37"/>
      <w:footerReference w:type="default" r:id="rId38"/>
      <w:headerReference w:type="first" r:id="rId39"/>
      <w:pgSz w:w="12240" w:h="15840"/>
      <w:pgMar w:top="1337" w:right="1440" w:bottom="1440" w:left="1440" w:header="32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A12E" w14:textId="77777777" w:rsidR="000B63B0" w:rsidRDefault="000B63B0">
      <w:pPr>
        <w:spacing w:after="0" w:line="240" w:lineRule="auto"/>
      </w:pPr>
      <w:r>
        <w:separator/>
      </w:r>
    </w:p>
  </w:endnote>
  <w:endnote w:type="continuationSeparator" w:id="0">
    <w:p w14:paraId="4BDA5BA1" w14:textId="77777777" w:rsidR="000B63B0" w:rsidRDefault="000B6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7C098F5-B9F8-4ADB-B2F2-E332706E73F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B9EF787-4C59-4490-A24C-F0BAAD3DE7D7}"/>
    <w:embedBold r:id="rId3" w:fontKey="{937E40A1-B7CB-4A04-A71E-B7C173C42902}"/>
    <w:embedItalic r:id="rId4" w:fontKey="{B2D46E14-582C-464B-8622-F13C6707E4E1}"/>
    <w:embedBoldItalic r:id="rId5" w:fontKey="{73C22131-8147-44BA-A2DA-8730DC9A9F07}"/>
  </w:font>
  <w:font w:name="Georgia">
    <w:panose1 w:val="02040502050405020303"/>
    <w:charset w:val="00"/>
    <w:family w:val="roman"/>
    <w:pitch w:val="variable"/>
    <w:sig w:usb0="00000287" w:usb1="00000000" w:usb2="00000000" w:usb3="00000000" w:csb0="0000009F" w:csb1="00000000"/>
    <w:embedItalic r:id="rId6" w:fontKey="{3DBDE78B-BB89-4837-A754-C771937244E0}"/>
  </w:font>
  <w:font w:name="Cambria Math">
    <w:panose1 w:val="02040503050406030204"/>
    <w:charset w:val="00"/>
    <w:family w:val="roman"/>
    <w:pitch w:val="variable"/>
    <w:sig w:usb0="E00006FF" w:usb1="420024FF" w:usb2="02000000" w:usb3="00000000" w:csb0="0000019F" w:csb1="00000000"/>
    <w:embedRegular r:id="rId7" w:fontKey="{9FFE6F94-894A-41F7-B003-280CB0EEBAF4}"/>
  </w:font>
  <w:font w:name="Oswald">
    <w:charset w:val="00"/>
    <w:family w:val="auto"/>
    <w:pitch w:val="variable"/>
    <w:sig w:usb0="2000020F" w:usb1="00000000" w:usb2="00000000" w:usb3="00000000" w:csb0="00000197" w:csb1="00000000"/>
    <w:embedRegular r:id="rId8" w:fontKey="{94EC2133-387A-4BC0-BDEA-8846BE2C965A}"/>
  </w:font>
  <w:font w:name="Calibri Light">
    <w:panose1 w:val="020F0302020204030204"/>
    <w:charset w:val="00"/>
    <w:family w:val="swiss"/>
    <w:pitch w:val="variable"/>
    <w:sig w:usb0="E4002EFF" w:usb1="C000247B" w:usb2="00000009" w:usb3="00000000" w:csb0="000001FF" w:csb1="00000000"/>
    <w:embedRegular r:id="rId9" w:fontKey="{7AECA194-FDC9-4303-879B-845E05828C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348151"/>
      <w:docPartObj>
        <w:docPartGallery w:val="Page Numbers (Bottom of Page)"/>
        <w:docPartUnique/>
      </w:docPartObj>
    </w:sdtPr>
    <w:sdtEndPr>
      <w:rPr>
        <w:rStyle w:val="PageNumber"/>
      </w:rPr>
    </w:sdtEndPr>
    <w:sdtContent>
      <w:p w14:paraId="2A674164" w14:textId="19A739F2" w:rsidR="00657AD9" w:rsidRDefault="00657AD9" w:rsidP="00C839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3503F0">
          <w:rPr>
            <w:rStyle w:val="PageNumber"/>
          </w:rPr>
          <w:fldChar w:fldCharType="separate"/>
        </w:r>
        <w:r>
          <w:rPr>
            <w:rStyle w:val="PageNumber"/>
          </w:rPr>
          <w:fldChar w:fldCharType="end"/>
        </w:r>
      </w:p>
    </w:sdtContent>
  </w:sdt>
  <w:p w14:paraId="50391645" w14:textId="77777777" w:rsidR="00657AD9" w:rsidRDefault="00657AD9" w:rsidP="00657A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599918"/>
      <w:docPartObj>
        <w:docPartGallery w:val="Page Numbers (Bottom of Page)"/>
        <w:docPartUnique/>
      </w:docPartObj>
    </w:sdtPr>
    <w:sdtEndPr>
      <w:rPr>
        <w:rStyle w:val="PageNumber"/>
      </w:rPr>
    </w:sdtEndPr>
    <w:sdtContent>
      <w:p w14:paraId="7966D627" w14:textId="56B42D3D" w:rsidR="00657AD9" w:rsidRDefault="00657AD9" w:rsidP="00C839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88FFAFA" w14:textId="77777777" w:rsidR="00835427" w:rsidRDefault="00835427" w:rsidP="00657AD9">
    <w:pPr>
      <w:ind w:right="360"/>
      <w:rPr>
        <w:i/>
        <w:iCs/>
        <w:color w:val="999999"/>
      </w:rPr>
    </w:pPr>
    <w:r>
      <w:rPr>
        <w:i/>
        <w:iCs/>
        <w:color w:val="999999"/>
      </w:rPr>
      <w:tab/>
    </w:r>
    <w:r>
      <w:rPr>
        <w:i/>
        <w:iCs/>
        <w:color w:val="999999"/>
      </w:rPr>
      <w:tab/>
    </w:r>
    <w:r>
      <w:rPr>
        <w:i/>
        <w:iCs/>
        <w:color w:val="999999"/>
      </w:rPr>
      <w:tab/>
    </w:r>
    <w:r>
      <w:rPr>
        <w:i/>
        <w:iCs/>
        <w:color w:val="999999"/>
      </w:rPr>
      <w:tab/>
    </w:r>
    <w:r>
      <w:rPr>
        <w:i/>
        <w:iCs/>
        <w:color w:val="999999"/>
      </w:rPr>
      <w:tab/>
    </w:r>
    <w:r>
      <w:rPr>
        <w:i/>
        <w:iCs/>
        <w:color w:val="999999"/>
      </w:rPr>
      <w:tab/>
    </w:r>
    <w:r>
      <w:rPr>
        <w:i/>
        <w:iCs/>
        <w:color w:val="99999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F9D53" w14:textId="77777777" w:rsidR="000B63B0" w:rsidRDefault="000B63B0">
      <w:pPr>
        <w:spacing w:after="0" w:line="240" w:lineRule="auto"/>
      </w:pPr>
      <w:r>
        <w:separator/>
      </w:r>
    </w:p>
  </w:footnote>
  <w:footnote w:type="continuationSeparator" w:id="0">
    <w:p w14:paraId="7E46308B" w14:textId="77777777" w:rsidR="000B63B0" w:rsidRDefault="000B6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3EC9" w14:textId="33DAEE63" w:rsidR="00657AD9" w:rsidRDefault="00657AD9">
    <w:pPr>
      <w:pStyle w:val="Header"/>
    </w:pPr>
    <w:r>
      <w:rPr>
        <w:rFonts w:ascii="Oswald" w:eastAsia="Oswald" w:hAnsi="Oswald" w:cs="Oswald"/>
        <w:noProof/>
        <w:color w:val="000000"/>
      </w:rPr>
      <w:drawing>
        <wp:inline distT="0" distB="0" distL="0" distR="0" wp14:anchorId="70F82953" wp14:editId="7B563B6D">
          <wp:extent cx="3810000" cy="441325"/>
          <wp:effectExtent l="0" t="0" r="0" b="0"/>
          <wp:docPr id="897728982" name="image1.png" descr="Geisel Academy of Educators and Scholars"/>
          <wp:cNvGraphicFramePr/>
          <a:graphic xmlns:a="http://schemas.openxmlformats.org/drawingml/2006/main">
            <a:graphicData uri="http://schemas.openxmlformats.org/drawingml/2006/picture">
              <pic:pic xmlns:pic="http://schemas.openxmlformats.org/drawingml/2006/picture">
                <pic:nvPicPr>
                  <pic:cNvPr id="0" name="image1.png" descr="Geisel Academy of Educators and Scholars"/>
                  <pic:cNvPicPr preferRelativeResize="0"/>
                </pic:nvPicPr>
                <pic:blipFill>
                  <a:blip r:embed="rId1"/>
                  <a:srcRect/>
                  <a:stretch>
                    <a:fillRect/>
                  </a:stretch>
                </pic:blipFill>
                <pic:spPr>
                  <a:xfrm>
                    <a:off x="0" y="0"/>
                    <a:ext cx="3810000" cy="4413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5689" w14:textId="01C870E7" w:rsidR="00657AD9" w:rsidRDefault="00657AD9">
    <w:pPr>
      <w:pStyle w:val="Header"/>
    </w:pPr>
    <w:r>
      <w:rPr>
        <w:rFonts w:ascii="Oswald" w:eastAsia="Oswald" w:hAnsi="Oswald" w:cs="Oswald"/>
        <w:noProof/>
        <w:color w:val="000000"/>
      </w:rPr>
      <w:drawing>
        <wp:inline distT="0" distB="0" distL="0" distR="0" wp14:anchorId="01A005AB" wp14:editId="730629FE">
          <wp:extent cx="3810000" cy="441325"/>
          <wp:effectExtent l="0" t="0" r="0" b="0"/>
          <wp:docPr id="570739005" name="image1.png" descr="Geisel Academy of Educators and Scholars"/>
          <wp:cNvGraphicFramePr/>
          <a:graphic xmlns:a="http://schemas.openxmlformats.org/drawingml/2006/main">
            <a:graphicData uri="http://schemas.openxmlformats.org/drawingml/2006/picture">
              <pic:pic xmlns:pic="http://schemas.openxmlformats.org/drawingml/2006/picture">
                <pic:nvPicPr>
                  <pic:cNvPr id="0" name="image1.png" descr="Geisel Academy of Educators and Scholars"/>
                  <pic:cNvPicPr preferRelativeResize="0"/>
                </pic:nvPicPr>
                <pic:blipFill>
                  <a:blip r:embed="rId1"/>
                  <a:srcRect/>
                  <a:stretch>
                    <a:fillRect/>
                  </a:stretch>
                </pic:blipFill>
                <pic:spPr>
                  <a:xfrm>
                    <a:off x="0" y="0"/>
                    <a:ext cx="3810000" cy="441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599"/>
    <w:multiLevelType w:val="hybridMultilevel"/>
    <w:tmpl w:val="C2FA9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72C24"/>
    <w:multiLevelType w:val="multilevel"/>
    <w:tmpl w:val="4A227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D3989"/>
    <w:multiLevelType w:val="multilevel"/>
    <w:tmpl w:val="EE3AB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4B3"/>
    <w:multiLevelType w:val="multilevel"/>
    <w:tmpl w:val="9CB8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206F7F"/>
    <w:multiLevelType w:val="hybridMultilevel"/>
    <w:tmpl w:val="866E8FDC"/>
    <w:lvl w:ilvl="0" w:tplc="04090001">
      <w:start w:val="1"/>
      <w:numFmt w:val="bullet"/>
      <w:lvlText w:val=""/>
      <w:lvlJc w:val="left"/>
      <w:pPr>
        <w:ind w:left="720" w:hanging="360"/>
      </w:pPr>
      <w:rPr>
        <w:rFonts w:ascii="Symbol" w:hAnsi="Symbol" w:hint="default"/>
      </w:rPr>
    </w:lvl>
    <w:lvl w:ilvl="1" w:tplc="802447F6">
      <w:numFmt w:val="bullet"/>
      <w:lvlText w:val="•"/>
      <w:lvlJc w:val="left"/>
      <w:pPr>
        <w:ind w:left="1800" w:hanging="720"/>
      </w:pPr>
      <w:rPr>
        <w:rFonts w:ascii="Arial" w:eastAsia="Arial"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E61657"/>
    <w:multiLevelType w:val="multilevel"/>
    <w:tmpl w:val="9DCE6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CF2D51"/>
    <w:multiLevelType w:val="multilevel"/>
    <w:tmpl w:val="6BA86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1D5E10"/>
    <w:multiLevelType w:val="multilevel"/>
    <w:tmpl w:val="CA5A8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E41526"/>
    <w:multiLevelType w:val="multilevel"/>
    <w:tmpl w:val="F1587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4"/>
  </w:num>
  <w:num w:numId="4">
    <w:abstractNumId w:val="0"/>
  </w:num>
  <w:num w:numId="5">
    <w:abstractNumId w:val="2"/>
  </w:num>
  <w:num w:numId="6">
    <w:abstractNumId w:val="5"/>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0F"/>
    <w:rsid w:val="0003050F"/>
    <w:rsid w:val="000B63B0"/>
    <w:rsid w:val="00152183"/>
    <w:rsid w:val="003503F0"/>
    <w:rsid w:val="00552AED"/>
    <w:rsid w:val="00657AD9"/>
    <w:rsid w:val="00835427"/>
    <w:rsid w:val="00A16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D2D3"/>
  <w15:docId w15:val="{1523AA41-2514-2541-A463-0824707B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183"/>
    <w:rPr>
      <w:rFonts w:ascii="Arial" w:hAnsi="Arial"/>
    </w:rPr>
  </w:style>
  <w:style w:type="paragraph" w:styleId="Heading1">
    <w:name w:val="heading 1"/>
    <w:basedOn w:val="Normal"/>
    <w:next w:val="Normal"/>
    <w:uiPriority w:val="9"/>
    <w:qFormat/>
    <w:rsid w:val="00152183"/>
    <w:pPr>
      <w:keepNext/>
      <w:keepLines/>
      <w:spacing w:after="0"/>
      <w:outlineLvl w:val="0"/>
    </w:pPr>
    <w:rPr>
      <w:b/>
      <w:bCs/>
      <w:sz w:val="2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F11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F115E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ListParagraph">
    <w:name w:val="List Paragraph"/>
    <w:basedOn w:val="Normal"/>
    <w:uiPriority w:val="34"/>
    <w:qFormat/>
    <w:rsid w:val="00EA4BE9"/>
    <w:pPr>
      <w:ind w:left="720"/>
      <w:contextualSpacing/>
    </w:pPr>
  </w:style>
  <w:style w:type="table" w:customStyle="1" w:styleId="a">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1521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52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183"/>
  </w:style>
  <w:style w:type="paragraph" w:styleId="Footer">
    <w:name w:val="footer"/>
    <w:basedOn w:val="Normal"/>
    <w:link w:val="FooterChar"/>
    <w:uiPriority w:val="99"/>
    <w:unhideWhenUsed/>
    <w:rsid w:val="00152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183"/>
  </w:style>
  <w:style w:type="paragraph" w:styleId="NoSpacing">
    <w:name w:val="No Spacing"/>
    <w:uiPriority w:val="1"/>
    <w:qFormat/>
    <w:rsid w:val="00152183"/>
    <w:pPr>
      <w:spacing w:after="0" w:line="240" w:lineRule="auto"/>
    </w:pPr>
    <w:rPr>
      <w:rFonts w:ascii="Arial" w:hAnsi="Arial"/>
    </w:rPr>
  </w:style>
  <w:style w:type="character" w:styleId="PageNumber">
    <w:name w:val="page number"/>
    <w:basedOn w:val="DefaultParagraphFont"/>
    <w:uiPriority w:val="99"/>
    <w:semiHidden/>
    <w:unhideWhenUsed/>
    <w:rsid w:val="00835427"/>
  </w:style>
  <w:style w:type="paragraph" w:styleId="TOCHeading">
    <w:name w:val="TOC Heading"/>
    <w:basedOn w:val="Heading1"/>
    <w:next w:val="Normal"/>
    <w:uiPriority w:val="39"/>
    <w:unhideWhenUsed/>
    <w:qFormat/>
    <w:rsid w:val="00657AD9"/>
    <w:pPr>
      <w:spacing w:before="480" w:line="276" w:lineRule="auto"/>
      <w:outlineLvl w:val="9"/>
    </w:pPr>
    <w:rPr>
      <w:rFonts w:eastAsiaTheme="majorEastAsia" w:cstheme="majorBidi"/>
      <w:color w:val="006845"/>
      <w:szCs w:val="28"/>
      <w:lang w:val="en-US"/>
    </w:rPr>
  </w:style>
  <w:style w:type="paragraph" w:styleId="TOC1">
    <w:name w:val="toc 1"/>
    <w:basedOn w:val="Normal"/>
    <w:next w:val="Normal"/>
    <w:autoRedefine/>
    <w:uiPriority w:val="39"/>
    <w:unhideWhenUsed/>
    <w:rsid w:val="00657AD9"/>
    <w:pPr>
      <w:spacing w:before="120" w:after="0"/>
    </w:pPr>
    <w:rPr>
      <w:rFonts w:cstheme="minorHAnsi"/>
      <w:b/>
      <w:bCs/>
      <w:i/>
      <w:iCs/>
      <w:sz w:val="24"/>
      <w:szCs w:val="24"/>
    </w:rPr>
  </w:style>
  <w:style w:type="character" w:styleId="Hyperlink">
    <w:name w:val="Hyperlink"/>
    <w:basedOn w:val="DefaultParagraphFont"/>
    <w:uiPriority w:val="99"/>
    <w:unhideWhenUsed/>
    <w:rsid w:val="00657AD9"/>
    <w:rPr>
      <w:color w:val="0563C1" w:themeColor="hyperlink"/>
      <w:u w:val="single"/>
    </w:rPr>
  </w:style>
  <w:style w:type="paragraph" w:styleId="TOC2">
    <w:name w:val="toc 2"/>
    <w:basedOn w:val="Normal"/>
    <w:next w:val="Normal"/>
    <w:autoRedefine/>
    <w:uiPriority w:val="39"/>
    <w:semiHidden/>
    <w:unhideWhenUsed/>
    <w:rsid w:val="00657AD9"/>
    <w:pPr>
      <w:spacing w:before="120" w:after="0"/>
      <w:ind w:left="220"/>
    </w:pPr>
    <w:rPr>
      <w:rFonts w:asciiTheme="minorHAnsi" w:hAnsiTheme="minorHAnsi" w:cstheme="minorHAnsi"/>
      <w:b/>
      <w:bCs/>
    </w:rPr>
  </w:style>
  <w:style w:type="paragraph" w:styleId="TOC3">
    <w:name w:val="toc 3"/>
    <w:basedOn w:val="Normal"/>
    <w:next w:val="Normal"/>
    <w:autoRedefine/>
    <w:uiPriority w:val="39"/>
    <w:semiHidden/>
    <w:unhideWhenUsed/>
    <w:rsid w:val="00657AD9"/>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57AD9"/>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57AD9"/>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57AD9"/>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57AD9"/>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57AD9"/>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57AD9"/>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0.svg"/><Relationship Id="rId34"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11/medu.15399"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s://doi.org/10.1037/0003-066X.32.7.513" TargetMode="External"/><Relationship Id="rId19" Type="http://schemas.openxmlformats.org/officeDocument/2006/relationships/image" Target="media/image8.svg"/><Relationship Id="rId31" Type="http://schemas.openxmlformats.org/officeDocument/2006/relationships/image" Target="media/image20.svg"/><Relationship Id="rId4" Type="http://schemas.openxmlformats.org/officeDocument/2006/relationships/styles" Target="styles.xml"/><Relationship Id="rId9" Type="http://schemas.openxmlformats.org/officeDocument/2006/relationships/hyperlink" Target="https://doi.org/10.1016/0749-5978(91)90020-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sv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FQECld0Rw0B8x7r0C4VNmyLKw==">CgMxLjA4AHIhMXdQZld4dEc1Z19WbFpQTXdVTjRKcjJDdl91WmVOODRC</go:docsCustomData>
</go:gDocsCustomXmlDataStorage>
</file>

<file path=customXml/itemProps1.xml><?xml version="1.0" encoding="utf-8"?>
<ds:datastoreItem xmlns:ds="http://schemas.openxmlformats.org/officeDocument/2006/customXml" ds:itemID="{F4231EF4-D3C9-D543-9F6F-8C94AEC8CB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3982</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alberry</dc:creator>
  <cp:lastModifiedBy>Roy E. Byington</cp:lastModifiedBy>
  <cp:revision>2</cp:revision>
  <dcterms:created xsi:type="dcterms:W3CDTF">2026-02-23T12:16:00Z</dcterms:created>
  <dcterms:modified xsi:type="dcterms:W3CDTF">2026-02-23T12:16:00Z</dcterms:modified>
</cp:coreProperties>
</file>